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1F" w:rsidRPr="00666ADE" w:rsidRDefault="0046461F" w:rsidP="0007761B">
      <w:pPr>
        <w:pStyle w:val="Heading4"/>
        <w:rPr>
          <w:rFonts w:ascii="Arial" w:hAnsi="Arial" w:cs="Arial"/>
          <w:i w:val="0"/>
          <w:iCs w:val="0"/>
          <w:sz w:val="20"/>
          <w:szCs w:val="20"/>
        </w:rPr>
      </w:pPr>
      <w:r w:rsidRPr="00666ADE">
        <w:rPr>
          <w:rFonts w:ascii="Arial" w:hAnsi="Arial" w:cs="Arial"/>
          <w:b w:val="0"/>
          <w:bCs w:val="0"/>
          <w:i w:val="0"/>
          <w:iCs w:val="0"/>
          <w:sz w:val="20"/>
          <w:szCs w:val="20"/>
        </w:rPr>
        <w:t>ПРОЕКТ</w:t>
      </w:r>
    </w:p>
    <w:p w:rsidR="0046461F" w:rsidRPr="00666ADE" w:rsidRDefault="0046461F" w:rsidP="0007761B">
      <w:pPr>
        <w:pStyle w:val="Caption"/>
        <w:rPr>
          <w:rFonts w:ascii="Arial" w:hAnsi="Arial" w:cs="Arial"/>
          <w:sz w:val="20"/>
          <w:szCs w:val="20"/>
        </w:rPr>
      </w:pPr>
      <w:r w:rsidRPr="00666ADE">
        <w:rPr>
          <w:rFonts w:ascii="Arial" w:hAnsi="Arial" w:cs="Arial"/>
          <w:sz w:val="20"/>
          <w:szCs w:val="20"/>
        </w:rPr>
        <w:t xml:space="preserve">ДОГОВОР </w:t>
      </w:r>
    </w:p>
    <w:p w:rsidR="0046461F" w:rsidRPr="00666ADE" w:rsidRDefault="0046461F" w:rsidP="0007761B">
      <w:pPr>
        <w:pStyle w:val="Caption"/>
        <w:rPr>
          <w:rFonts w:ascii="Arial" w:hAnsi="Arial" w:cs="Arial"/>
          <w:sz w:val="20"/>
          <w:szCs w:val="20"/>
        </w:rPr>
      </w:pPr>
      <w:r w:rsidRPr="00666ADE">
        <w:rPr>
          <w:rFonts w:ascii="Arial" w:hAnsi="Arial" w:cs="Arial"/>
          <w:sz w:val="20"/>
          <w:szCs w:val="20"/>
        </w:rPr>
        <w:t>О МЕЖДЕПОЗИТАРНЫХ ОТНОШЕНИЯХ</w:t>
      </w:r>
    </w:p>
    <w:p w:rsidR="0046461F" w:rsidRPr="00666ADE" w:rsidRDefault="0046461F" w:rsidP="0007761B">
      <w:pPr>
        <w:pStyle w:val="Caption"/>
        <w:rPr>
          <w:rFonts w:ascii="Arial" w:hAnsi="Arial" w:cs="Arial"/>
          <w:sz w:val="20"/>
          <w:szCs w:val="20"/>
        </w:rPr>
      </w:pPr>
    </w:p>
    <w:p w:rsidR="0046461F" w:rsidRPr="00666ADE" w:rsidRDefault="0046461F" w:rsidP="0007761B">
      <w:pPr>
        <w:widowControl w:val="0"/>
        <w:jc w:val="both"/>
        <w:rPr>
          <w:rFonts w:ascii="Arial" w:hAnsi="Arial" w:cs="Arial"/>
          <w:snapToGrid w:val="0"/>
          <w:sz w:val="20"/>
          <w:szCs w:val="20"/>
        </w:rPr>
      </w:pPr>
      <w:r w:rsidRPr="00666ADE">
        <w:rPr>
          <w:rFonts w:ascii="Arial" w:hAnsi="Arial" w:cs="Arial"/>
          <w:snapToGrid w:val="0"/>
          <w:sz w:val="20"/>
          <w:szCs w:val="20"/>
        </w:rPr>
        <w:t>г.</w:t>
      </w:r>
      <w:r>
        <w:rPr>
          <w:rFonts w:ascii="Arial" w:hAnsi="Arial" w:cs="Arial"/>
          <w:snapToGrid w:val="0"/>
          <w:sz w:val="20"/>
          <w:szCs w:val="20"/>
        </w:rPr>
        <w:t xml:space="preserve"> Москва</w:t>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t xml:space="preserve">       "____" ______________20___г.</w:t>
      </w:r>
    </w:p>
    <w:p w:rsidR="0046461F" w:rsidRPr="00666ADE" w:rsidRDefault="0046461F" w:rsidP="0007761B">
      <w:pPr>
        <w:widowControl w:val="0"/>
        <w:jc w:val="both"/>
        <w:rPr>
          <w:rFonts w:ascii="Arial" w:hAnsi="Arial" w:cs="Arial"/>
          <w:snapToGrid w:val="0"/>
          <w:sz w:val="20"/>
          <w:szCs w:val="20"/>
        </w:rPr>
      </w:pPr>
    </w:p>
    <w:p w:rsidR="0046461F" w:rsidRPr="00666ADE" w:rsidRDefault="0046461F" w:rsidP="004622DC">
      <w:pPr>
        <w:widowControl w:val="0"/>
        <w:ind w:firstLine="708"/>
        <w:jc w:val="both"/>
        <w:rPr>
          <w:rFonts w:ascii="Arial" w:hAnsi="Arial" w:cs="Arial"/>
          <w:snapToGrid w:val="0"/>
          <w:sz w:val="20"/>
          <w:szCs w:val="20"/>
        </w:rPr>
      </w:pPr>
      <w:r w:rsidRPr="00666ADE">
        <w:rPr>
          <w:rFonts w:ascii="Arial" w:hAnsi="Arial" w:cs="Arial"/>
          <w:snapToGrid w:val="0"/>
          <w:sz w:val="20"/>
          <w:szCs w:val="20"/>
        </w:rPr>
        <w:tab/>
      </w:r>
      <w:r w:rsidRPr="00666ADE">
        <w:rPr>
          <w:rFonts w:ascii="Arial" w:hAnsi="Arial" w:cs="Arial"/>
          <w:b/>
          <w:bCs/>
          <w:snapToGrid w:val="0"/>
          <w:sz w:val="20"/>
          <w:szCs w:val="20"/>
        </w:rPr>
        <w:t xml:space="preserve">ООО </w:t>
      </w:r>
      <w:r>
        <w:rPr>
          <w:rFonts w:ascii="Arial" w:hAnsi="Arial" w:cs="Arial"/>
          <w:b/>
          <w:bCs/>
          <w:snapToGrid w:val="0"/>
          <w:sz w:val="20"/>
          <w:szCs w:val="20"/>
        </w:rPr>
        <w:t xml:space="preserve">ИК </w:t>
      </w:r>
      <w:r w:rsidRPr="00666ADE">
        <w:rPr>
          <w:rFonts w:ascii="Arial" w:hAnsi="Arial" w:cs="Arial"/>
          <w:b/>
          <w:bCs/>
          <w:snapToGrid w:val="0"/>
          <w:sz w:val="20"/>
          <w:szCs w:val="20"/>
        </w:rPr>
        <w:t>«</w:t>
      </w:r>
      <w:r>
        <w:rPr>
          <w:rFonts w:ascii="Arial" w:hAnsi="Arial" w:cs="Arial"/>
          <w:b/>
          <w:bCs/>
          <w:snapToGrid w:val="0"/>
          <w:sz w:val="20"/>
          <w:szCs w:val="20"/>
        </w:rPr>
        <w:t>Айсберг Финанс</w:t>
      </w:r>
      <w:r w:rsidRPr="00666ADE">
        <w:rPr>
          <w:rFonts w:ascii="Arial" w:hAnsi="Arial" w:cs="Arial"/>
          <w:b/>
          <w:bCs/>
          <w:snapToGrid w:val="0"/>
          <w:sz w:val="20"/>
          <w:szCs w:val="20"/>
        </w:rPr>
        <w:t>»,</w:t>
      </w:r>
      <w:r w:rsidRPr="00666ADE">
        <w:rPr>
          <w:rFonts w:ascii="Arial" w:hAnsi="Arial" w:cs="Arial"/>
          <w:snapToGrid w:val="0"/>
          <w:sz w:val="20"/>
          <w:szCs w:val="20"/>
        </w:rPr>
        <w:t xml:space="preserve"> действующее на основании Лицензии на осуществление депозитарной деятельности №_________ от _________, именуемое в дальнейшем </w:t>
      </w:r>
      <w:r w:rsidRPr="00666ADE">
        <w:rPr>
          <w:rFonts w:ascii="Arial" w:hAnsi="Arial" w:cs="Arial"/>
          <w:b/>
          <w:bCs/>
          <w:snapToGrid w:val="0"/>
          <w:sz w:val="20"/>
          <w:szCs w:val="20"/>
        </w:rPr>
        <w:t>"Депозитарий"</w:t>
      </w:r>
      <w:r w:rsidRPr="00666ADE">
        <w:rPr>
          <w:rFonts w:ascii="Arial" w:hAnsi="Arial" w:cs="Arial"/>
          <w:snapToGrid w:val="0"/>
          <w:sz w:val="20"/>
          <w:szCs w:val="20"/>
        </w:rPr>
        <w:t>, в лице Генерального директора, действующе</w:t>
      </w:r>
      <w:r>
        <w:rPr>
          <w:rFonts w:ascii="Arial" w:hAnsi="Arial" w:cs="Arial"/>
          <w:snapToGrid w:val="0"/>
          <w:sz w:val="20"/>
          <w:szCs w:val="20"/>
        </w:rPr>
        <w:t>го</w:t>
      </w:r>
      <w:r w:rsidRPr="00666ADE">
        <w:rPr>
          <w:rFonts w:ascii="Arial" w:hAnsi="Arial" w:cs="Arial"/>
          <w:snapToGrid w:val="0"/>
          <w:sz w:val="20"/>
          <w:szCs w:val="20"/>
        </w:rPr>
        <w:t xml:space="preserve"> на основании Устава, с одной стороны, и ______________________, именуем___ в дальнейшем (для юридических лиц – наименование полностью, для физических лиц – фамилия, имя, отчество)</w:t>
      </w:r>
      <w:r>
        <w:rPr>
          <w:rFonts w:ascii="Arial" w:hAnsi="Arial" w:cs="Arial"/>
          <w:b/>
          <w:bCs/>
          <w:snapToGrid w:val="0"/>
          <w:sz w:val="20"/>
          <w:szCs w:val="20"/>
        </w:rPr>
        <w:t xml:space="preserve"> </w:t>
      </w:r>
      <w:r w:rsidRPr="00666ADE">
        <w:rPr>
          <w:rFonts w:ascii="Arial" w:hAnsi="Arial" w:cs="Arial"/>
          <w:b/>
          <w:bCs/>
          <w:snapToGrid w:val="0"/>
          <w:sz w:val="20"/>
          <w:szCs w:val="20"/>
        </w:rPr>
        <w:t>"Депонент"</w:t>
      </w:r>
      <w:r w:rsidRPr="00666ADE">
        <w:rPr>
          <w:rFonts w:ascii="Arial" w:hAnsi="Arial" w:cs="Arial"/>
          <w:snapToGrid w:val="0"/>
          <w:sz w:val="20"/>
          <w:szCs w:val="20"/>
        </w:rPr>
        <w:t>, в лице ___________ действующего(-ей) на основании ___________, с другой стороны, совместно именуемые "</w:t>
      </w:r>
      <w:r w:rsidRPr="00666ADE">
        <w:rPr>
          <w:rFonts w:ascii="Arial" w:hAnsi="Arial" w:cs="Arial"/>
          <w:b/>
          <w:bCs/>
          <w:snapToGrid w:val="0"/>
          <w:sz w:val="20"/>
          <w:szCs w:val="20"/>
        </w:rPr>
        <w:t>Стороны</w:t>
      </w:r>
      <w:r w:rsidRPr="00666ADE">
        <w:rPr>
          <w:rFonts w:ascii="Arial" w:hAnsi="Arial" w:cs="Arial"/>
          <w:snapToGrid w:val="0"/>
          <w:sz w:val="20"/>
          <w:szCs w:val="20"/>
        </w:rPr>
        <w:t>", заключили настоящий Договор о нижеследующем:</w:t>
      </w:r>
    </w:p>
    <w:p w:rsidR="0046461F" w:rsidRPr="00666ADE" w:rsidRDefault="0046461F">
      <w:pPr>
        <w:rPr>
          <w:rFonts w:ascii="Arial" w:hAnsi="Arial" w:cs="Arial"/>
          <w:sz w:val="20"/>
          <w:szCs w:val="20"/>
        </w:rPr>
      </w:pPr>
    </w:p>
    <w:p w:rsidR="0046461F" w:rsidRPr="00666ADE" w:rsidRDefault="0046461F" w:rsidP="0007761B">
      <w:pPr>
        <w:widowControl w:val="0"/>
        <w:rPr>
          <w:rFonts w:ascii="Arial" w:hAnsi="Arial" w:cs="Arial"/>
          <w:b/>
          <w:bCs/>
          <w:snapToGrid w:val="0"/>
          <w:sz w:val="20"/>
          <w:szCs w:val="20"/>
        </w:rPr>
      </w:pPr>
      <w:r w:rsidRPr="00666ADE">
        <w:rPr>
          <w:rFonts w:ascii="Arial" w:hAnsi="Arial" w:cs="Arial"/>
          <w:b/>
          <w:bCs/>
          <w:snapToGrid w:val="0"/>
          <w:sz w:val="20"/>
          <w:szCs w:val="20"/>
        </w:rPr>
        <w:t>1. ПРЕДМЕТ ДОГОВОРА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1.1. Предметом настоящего Договора является предоставление Депозитарием услуг по хранению сертификатов ценных бумаг и/или, учету и удостоверению прав на ценные бумаги, принадлежащие клиентам Депонента на праве собственности или ином вещном праве либо переданных клиентам Депонента в доверительное управление, либо находящихся у клиентов Депонента в залоге (далее – Ценные бумаги) путем открытия и ведения Депозитарием счета депо номинального держателя Депонента, осуществления операций по этому счету. Предметом настоящего Договора является также оказание Депозитарием услуг, содействующих реализации клиентами Депонента прав по Ценным бумагам. При этом Депозитарий оказывает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46461F" w:rsidRPr="00666ADE" w:rsidRDefault="0046461F" w:rsidP="0007761B">
      <w:pPr>
        <w:pStyle w:val="BodyTextIndent3"/>
        <w:tabs>
          <w:tab w:val="left" w:pos="2127"/>
        </w:tabs>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1.2. Объектом деятельности Депозитария являются </w:t>
      </w:r>
    </w:p>
    <w:p w:rsidR="0046461F" w:rsidRPr="00666ADE" w:rsidRDefault="0046461F" w:rsidP="00642542">
      <w:pPr>
        <w:pStyle w:val="ListParagraph"/>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46461F" w:rsidRPr="00666ADE" w:rsidRDefault="0046461F" w:rsidP="00642542">
      <w:pPr>
        <w:pStyle w:val="ListParagraph"/>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эмиссионные ценные бумаги на предъявителя с обязательным централизованным хранением;</w:t>
      </w:r>
    </w:p>
    <w:p w:rsidR="0046461F" w:rsidRPr="00666ADE" w:rsidRDefault="0046461F" w:rsidP="00A3597D">
      <w:pPr>
        <w:pStyle w:val="ListParagraph"/>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 xml:space="preserve">иностранные финансовые инструменты, которые квалифицированы в качестве ценных бумаг в соответствии со </w:t>
      </w:r>
      <w:hyperlink r:id="rId7" w:history="1">
        <w:r w:rsidRPr="00666ADE">
          <w:rPr>
            <w:rFonts w:ascii="Arial" w:hAnsi="Arial" w:cs="Arial"/>
            <w:sz w:val="20"/>
            <w:szCs w:val="20"/>
            <w:lang w:eastAsia="en-US"/>
          </w:rPr>
          <w:t>статьей 44</w:t>
        </w:r>
      </w:hyperlink>
      <w:r w:rsidRPr="00666ADE">
        <w:rPr>
          <w:rFonts w:ascii="Arial" w:hAnsi="Arial" w:cs="Arial"/>
          <w:sz w:val="20"/>
          <w:szCs w:val="20"/>
          <w:lang w:eastAsia="en-US"/>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1.3. В отношении Ценных бумаг, права на которые учитываются в Депозитарии, последний выступает в качестве номинального держателя в реестре владельцев именных ценных бумаг или в другом депозитарии, или лица, действующего в интересах других лиц в иностранной организации.</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Учет и удостоверение Ценных бумаг ведется по всей совокупности данных без разбивки по отдельным клиентам.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1.4. На Ценные бумаги, учитываемые на счете депо номинального держателя Депонента, не может быть обращено взыскание по обязательствам Депозитария.</w:t>
      </w:r>
    </w:p>
    <w:p w:rsidR="0046461F" w:rsidRPr="00666ADE" w:rsidRDefault="0046461F" w:rsidP="00065EE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1.5. Порядок оказания Депозитарием услуг по настоящему Договору, включая порядок подачи Депонентом Депозитарию поручений о распоряжении Ценными бумагами, сертификаты которых хранятся и (или) права на которые учитываются в Депозитарии, сроки исполнения поручений, а также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установлен Клиентским регламентом Депозитария </w:t>
      </w:r>
      <w:r w:rsidRPr="004622DC">
        <w:rPr>
          <w:rFonts w:ascii="Arial" w:hAnsi="Arial" w:cs="Arial"/>
          <w:b/>
          <w:bCs/>
          <w:i w:val="0"/>
          <w:iCs w:val="0"/>
          <w:sz w:val="20"/>
          <w:szCs w:val="20"/>
        </w:rPr>
        <w:t xml:space="preserve">ООО </w:t>
      </w:r>
      <w:r>
        <w:rPr>
          <w:rFonts w:ascii="Arial" w:hAnsi="Arial" w:cs="Arial"/>
          <w:b/>
          <w:bCs/>
          <w:i w:val="0"/>
          <w:iCs w:val="0"/>
          <w:sz w:val="20"/>
          <w:szCs w:val="20"/>
        </w:rPr>
        <w:t xml:space="preserve">ИК </w:t>
      </w:r>
      <w:r w:rsidRPr="004622DC">
        <w:rPr>
          <w:rFonts w:ascii="Arial" w:hAnsi="Arial" w:cs="Arial"/>
          <w:b/>
          <w:bCs/>
          <w:i w:val="0"/>
          <w:iCs w:val="0"/>
          <w:sz w:val="20"/>
          <w:szCs w:val="20"/>
        </w:rPr>
        <w:t>«</w:t>
      </w:r>
      <w:r>
        <w:rPr>
          <w:rFonts w:ascii="Arial" w:hAnsi="Arial" w:cs="Arial"/>
          <w:b/>
          <w:bCs/>
          <w:i w:val="0"/>
          <w:iCs w:val="0"/>
          <w:sz w:val="20"/>
          <w:szCs w:val="20"/>
        </w:rPr>
        <w:t>Айсберг Финанс</w:t>
      </w:r>
      <w:r w:rsidRPr="004622DC">
        <w:rPr>
          <w:rFonts w:ascii="Arial" w:hAnsi="Arial" w:cs="Arial"/>
          <w:b/>
          <w:bCs/>
          <w:i w:val="0"/>
          <w:iCs w:val="0"/>
          <w:sz w:val="20"/>
          <w:szCs w:val="20"/>
        </w:rPr>
        <w:t>»</w:t>
      </w:r>
      <w:r w:rsidRPr="00666ADE">
        <w:rPr>
          <w:rFonts w:ascii="Arial" w:hAnsi="Arial" w:cs="Arial"/>
          <w:i w:val="0"/>
          <w:iCs w:val="0"/>
          <w:sz w:val="20"/>
          <w:szCs w:val="20"/>
        </w:rPr>
        <w:t xml:space="preserve"> (Условия осуществления депозитарной деятельности) – Приложение №1 к настоящему Договору, далее – Регламент, который является неотъемлемой частью настоящего Договора.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1.6. Депозитарий совмещает депозитарную деятельность с брокерской деятельностью (Лицензия Банка России на осуществление брокерской деятельности №_______ от ______), дилерской деятельностью (Лицензия Банка России на осуществление дилерской деятельности №_________ от_____), деятельностью по управлению ценными бумагами (Лицензия Банка России на осуществление деятельности по управлению ценными бумагами №_________ от_____).</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 xml:space="preserve">1.7. Термины, используемые в настоящем Договоре и не определенные в нем, понимаются Сторонами в соответствии с Гражданским Кодексом РФ, Федеральным законом от 22.04.1996 г. № 39-ФЗ «О рынке ценных бумаг», Положением о депозитарной деятельности в РФ, утвержденным Постановлением ФКЦБ России от 16.10.1997 г. №36, </w:t>
      </w:r>
      <w:r w:rsidRPr="009F0868">
        <w:rPr>
          <w:rFonts w:ascii="Arial" w:hAnsi="Arial" w:cs="Arial"/>
          <w:snapToGrid w:val="0"/>
          <w:sz w:val="20"/>
          <w:szCs w:val="20"/>
        </w:rPr>
        <w:t>Порядком открытия и ведения депозитариями счетов депо и иных счетов, утвержденным</w:t>
      </w:r>
      <w:r>
        <w:rPr>
          <w:rFonts w:ascii="Arial" w:hAnsi="Arial" w:cs="Arial"/>
          <w:snapToGrid w:val="0"/>
          <w:sz w:val="20"/>
          <w:szCs w:val="20"/>
        </w:rPr>
        <w:t xml:space="preserve"> Положением Центрального банка Р</w:t>
      </w:r>
      <w:r w:rsidRPr="009F0868">
        <w:rPr>
          <w:rFonts w:ascii="Arial" w:hAnsi="Arial" w:cs="Arial"/>
          <w:snapToGrid w:val="0"/>
          <w:sz w:val="20"/>
          <w:szCs w:val="20"/>
        </w:rPr>
        <w:t>оссийской Федерации от 1</w:t>
      </w:r>
      <w:bookmarkStart w:id="0" w:name="_GoBack"/>
      <w:bookmarkEnd w:id="0"/>
      <w:r w:rsidRPr="009F0868">
        <w:rPr>
          <w:rFonts w:ascii="Arial" w:hAnsi="Arial" w:cs="Arial"/>
          <w:snapToGrid w:val="0"/>
          <w:sz w:val="20"/>
          <w:szCs w:val="20"/>
        </w:rPr>
        <w:t>3.11.2015 № 503-П</w:t>
      </w:r>
      <w:r w:rsidRPr="00666ADE">
        <w:rPr>
          <w:rFonts w:ascii="Arial" w:hAnsi="Arial" w:cs="Arial"/>
          <w:snapToGrid w:val="0"/>
          <w:sz w:val="20"/>
          <w:szCs w:val="20"/>
        </w:rPr>
        <w:t>, иными нормативными актами.</w:t>
      </w:r>
    </w:p>
    <w:p w:rsidR="0046461F" w:rsidRPr="00666ADE" w:rsidRDefault="0046461F" w:rsidP="0007761B">
      <w:pPr>
        <w:widowControl w:val="0"/>
        <w:ind w:firstLine="142"/>
        <w:jc w:val="both"/>
        <w:rPr>
          <w:rFonts w:ascii="Arial" w:hAnsi="Arial" w:cs="Arial"/>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 ПРАВА И ОБЯЗАННОСТИ СТОРОН</w:t>
      </w:r>
    </w:p>
    <w:p w:rsidR="0046461F" w:rsidRPr="00666ADE" w:rsidRDefault="0046461F" w:rsidP="0007761B">
      <w:pPr>
        <w:pStyle w:val="BodyTextIndent3"/>
        <w:spacing w:line="240" w:lineRule="auto"/>
        <w:ind w:firstLine="142"/>
        <w:rPr>
          <w:rFonts w:ascii="Arial" w:hAnsi="Arial" w:cs="Arial"/>
          <w:b/>
          <w:bCs/>
          <w:i w:val="0"/>
          <w:iCs w:val="0"/>
          <w:sz w:val="20"/>
          <w:szCs w:val="20"/>
        </w:rPr>
      </w:pPr>
      <w:r w:rsidRPr="00666ADE">
        <w:rPr>
          <w:rFonts w:ascii="Arial" w:hAnsi="Arial" w:cs="Arial"/>
          <w:b/>
          <w:bCs/>
          <w:i w:val="0"/>
          <w:iCs w:val="0"/>
          <w:sz w:val="20"/>
          <w:szCs w:val="20"/>
        </w:rPr>
        <w:t>2.1. Депозитарий обязан:</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2.1.1. Открыть Депоненту отдельный счет депо номинального держателя для учета и удостоверения прав на Ценные бумаги. Открытие счета депо номинального держателя Депонента не ставится в зависимость от зачисления на него Ценных бумаг в момент открытия.</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2.1.2. Осуществлять хранение сертификатов Ценных бумаг и/или вести учёт Ценных бумаг, а также вести учёт депозитарных операций с Ценными бумагами по счету депо номинального держателя Депонента.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2.1.3. Обеспечить обособленное хранение сертификатов Ценных бумаг и /или учёт Ценных бумаг от ценных бумаг, принадлежащих самому Депозитарию.</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2.1.4. Выполнять поручения Депонента в порядке и в сроки, установленные Регламентом.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2.1.5. Совершать операции по счету депо номинального держателя Депонента в сроки, установленные Регламентом, на основании заполненных в соответствии с Регламентом поручений Депонента или уполномоченных лиц; </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2.1.6. Выдавать Депоненту отчет об исполнении операций по счету депо</w:t>
      </w:r>
      <w:r w:rsidRPr="00666ADE">
        <w:rPr>
          <w:rFonts w:ascii="Arial" w:hAnsi="Arial" w:cs="Arial"/>
          <w:sz w:val="20"/>
          <w:szCs w:val="20"/>
        </w:rPr>
        <w:t xml:space="preserve"> </w:t>
      </w:r>
      <w:r w:rsidRPr="00666ADE">
        <w:rPr>
          <w:rFonts w:ascii="Arial" w:hAnsi="Arial" w:cs="Arial"/>
          <w:snapToGrid w:val="0"/>
          <w:sz w:val="20"/>
          <w:szCs w:val="20"/>
        </w:rPr>
        <w:t>номинального держателя Депонента в порядке, по форме и в сроки, установленные Регламентом.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2.1.7. Учитывать на счете депо номинального держателя Депонента изменения, связанные с дроблением, консолидацией, конвертацией, объединением выпусков Ценных бумаг, аннулированием и погашением зачисленных на счет депо номинального держателя Ценных бумаг, а также выплатой доходов по Ценным бумагам.</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2.1.8. Содействовать реализации прав клиентов Депонента по Ценным бумагам, учитываемым на счете депо Депонента:</w:t>
      </w:r>
    </w:p>
    <w:p w:rsidR="0046461F" w:rsidRPr="00666ADE" w:rsidRDefault="0046461F" w:rsidP="0007761B">
      <w:pPr>
        <w:pStyle w:val="ConsNormal"/>
        <w:ind w:firstLine="0"/>
        <w:jc w:val="both"/>
        <w:rPr>
          <w:sz w:val="20"/>
          <w:szCs w:val="20"/>
        </w:rPr>
      </w:pPr>
      <w:r w:rsidRPr="00666ADE">
        <w:rPr>
          <w:sz w:val="20"/>
          <w:szCs w:val="20"/>
        </w:rPr>
        <w:t>- получать от эмитента, регистратора или вышестоящего депозитария, иностранной организации, в которой Депозитарию открыт счет лица, действующего в интересах других лиц, информацию и документы, касающиеся Ценных бумаг, и передавать их Депоненту;</w:t>
      </w:r>
    </w:p>
    <w:p w:rsidR="0046461F" w:rsidRPr="00666ADE" w:rsidRDefault="0046461F" w:rsidP="0007761B">
      <w:pPr>
        <w:pStyle w:val="ConsNormal"/>
        <w:ind w:firstLine="0"/>
        <w:jc w:val="both"/>
        <w:rPr>
          <w:sz w:val="20"/>
          <w:szCs w:val="20"/>
        </w:rPr>
      </w:pPr>
      <w:r w:rsidRPr="00666ADE">
        <w:rPr>
          <w:sz w:val="20"/>
          <w:szCs w:val="20"/>
        </w:rPr>
        <w:t>- передавать Депоненту поступающие в Депозитарий от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 сообщения о корпоративных действиях эмитента путем размещения информации на WEB-сайте Депозитария, если иной способ не предусмотрен Регламентом;</w:t>
      </w:r>
    </w:p>
    <w:p w:rsidR="0046461F" w:rsidRPr="00666ADE" w:rsidRDefault="0046461F" w:rsidP="0007761B">
      <w:pPr>
        <w:pStyle w:val="ConsNormal"/>
        <w:ind w:firstLine="0"/>
        <w:jc w:val="both"/>
        <w:rPr>
          <w:sz w:val="20"/>
          <w:szCs w:val="20"/>
        </w:rPr>
      </w:pPr>
      <w:r w:rsidRPr="00666ADE">
        <w:rPr>
          <w:sz w:val="20"/>
          <w:szCs w:val="20"/>
        </w:rPr>
        <w:t>- в случаях, установленных действующим законодательством РФ, при составлении списка владельцев ценных бумаг предоставлять эмитенту, регистратору, вышестоящему депозитарию или иностранной организации, в которой Депозитарию открыт счет лица, действующего в интересах других лиц сведения о клиентах Депонента и Ценных бумагах, необходимые для реализации прав владельцев: получения доходов по Ценным бумагам, участия в общих собраниях акционеров и иных прав – в соответствии с запросом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w:t>
      </w:r>
    </w:p>
    <w:p w:rsidR="0046461F" w:rsidRPr="00666ADE" w:rsidRDefault="0046461F" w:rsidP="0007761B">
      <w:pPr>
        <w:pStyle w:val="ConsNormal"/>
        <w:ind w:firstLine="0"/>
        <w:jc w:val="both"/>
        <w:rPr>
          <w:sz w:val="20"/>
          <w:szCs w:val="20"/>
        </w:rPr>
      </w:pPr>
      <w:r w:rsidRPr="00666ADE">
        <w:rPr>
          <w:sz w:val="20"/>
          <w:szCs w:val="20"/>
        </w:rPr>
        <w:t>- принимать все предусмотренные федеральными законами и иными нормативными актами меры по защите интересов клиентов Депонента при осуществлении эмитентом корпоративных действий.</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2.1.9. Обеспечивать необходимые условия для сохранности сертификатов Ценных бумаг и записей о Ценных бумагах, в том числе путем использования систем дублирования информации и безопасной системы хранения записей.</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2.1.10. В случае отказа в приеме и/или в исполнении поручения выдать Депоненту мотивированный отказ в письменном виде.</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2.1.11. В случаях, установленных федеральными законами и иными нормативными актами, Депозитарий обязан исполнять, оформленные надлежащим образом, письменные поручения должностных лиц  государственных органов, в том числе:</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судебных ;</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органов дознания и предварительного следствия.</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2.1.12. С момента получения извещения в соответствии с п. 2.3.8. настоящего Договора Депозитарий прекращает исполнение поручений Депонента за исключением поручений на списание Ценных бумаг.</w:t>
      </w:r>
    </w:p>
    <w:p w:rsidR="0046461F"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2.1.13. Письменно уведомить Депонента об аннулировании или приостановлении действия своей лицензии на осуществление депозитарной деятельности на рынке ценных бумаг в течение 3 (трех) рабочих дней с момента получения соответствующего письменного уведомления от Банка России.</w:t>
      </w:r>
    </w:p>
    <w:p w:rsidR="0046461F" w:rsidRPr="00301570" w:rsidRDefault="0046461F" w:rsidP="00301570">
      <w:pPr>
        <w:pStyle w:val="BodyTextIndent3"/>
        <w:spacing w:line="240" w:lineRule="auto"/>
        <w:ind w:firstLine="142"/>
        <w:rPr>
          <w:rFonts w:ascii="Arial" w:hAnsi="Arial" w:cs="Arial"/>
          <w:sz w:val="20"/>
          <w:szCs w:val="20"/>
        </w:rPr>
      </w:pPr>
      <w:r w:rsidRPr="00915470">
        <w:rPr>
          <w:rFonts w:ascii="Arial" w:hAnsi="Arial" w:cs="Arial"/>
          <w:i w:val="0"/>
          <w:iCs w:val="0"/>
          <w:sz w:val="20"/>
          <w:szCs w:val="20"/>
        </w:rPr>
        <w:t>2.1.</w:t>
      </w:r>
      <w:r>
        <w:rPr>
          <w:rFonts w:ascii="Arial" w:hAnsi="Arial" w:cs="Arial"/>
          <w:i w:val="0"/>
          <w:iCs w:val="0"/>
          <w:sz w:val="20"/>
          <w:szCs w:val="20"/>
        </w:rPr>
        <w:t>14</w:t>
      </w:r>
      <w:r w:rsidRPr="00301570">
        <w:rPr>
          <w:rFonts w:ascii="Arial" w:hAnsi="Arial" w:cs="Arial"/>
          <w:i w:val="0"/>
          <w:iCs w:val="0"/>
          <w:sz w:val="20"/>
          <w:szCs w:val="20"/>
        </w:rPr>
        <w:t xml:space="preserve"> Передавать Депоненту выплаты по ценным бумагам в порядке и сроки, установленные Регламентом.</w:t>
      </w:r>
    </w:p>
    <w:p w:rsidR="0046461F" w:rsidRPr="00666ADE" w:rsidRDefault="0046461F" w:rsidP="0007761B">
      <w:pPr>
        <w:pStyle w:val="BodyTextIndent3"/>
        <w:spacing w:line="240" w:lineRule="auto"/>
        <w:ind w:firstLine="142"/>
        <w:rPr>
          <w:rFonts w:ascii="Arial" w:hAnsi="Arial" w:cs="Arial"/>
          <w:i w:val="0"/>
          <w:iCs w:val="0"/>
          <w:sz w:val="20"/>
          <w:szCs w:val="20"/>
        </w:rPr>
      </w:pPr>
    </w:p>
    <w:p w:rsidR="0046461F" w:rsidRPr="00666ADE" w:rsidRDefault="0046461F" w:rsidP="0007761B">
      <w:pPr>
        <w:pStyle w:val="BodyTextIndent3"/>
        <w:spacing w:line="240" w:lineRule="auto"/>
        <w:ind w:firstLine="142"/>
        <w:rPr>
          <w:rFonts w:ascii="Arial" w:hAnsi="Arial" w:cs="Arial"/>
          <w:i w:val="0"/>
          <w:iCs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2.2. Депозитарий вправе:</w:t>
      </w:r>
    </w:p>
    <w:p w:rsidR="0046461F" w:rsidRPr="00666ADE" w:rsidRDefault="0046461F" w:rsidP="003C1CFB">
      <w:pPr>
        <w:autoSpaceDE w:val="0"/>
        <w:autoSpaceDN w:val="0"/>
        <w:adjustRightInd w:val="0"/>
        <w:jc w:val="both"/>
        <w:rPr>
          <w:rFonts w:ascii="Arial" w:hAnsi="Arial" w:cs="Arial"/>
          <w:color w:val="FF0000"/>
          <w:sz w:val="20"/>
          <w:szCs w:val="20"/>
          <w:lang w:eastAsia="en-US"/>
        </w:rPr>
      </w:pPr>
      <w:r w:rsidRPr="00666ADE">
        <w:rPr>
          <w:rFonts w:ascii="Arial" w:hAnsi="Arial" w:cs="Arial"/>
          <w:color w:val="FF0000"/>
          <w:sz w:val="20"/>
          <w:szCs w:val="20"/>
        </w:rPr>
        <w:t xml:space="preserve">     </w:t>
      </w:r>
      <w:r w:rsidRPr="00DB35CA">
        <w:rPr>
          <w:rFonts w:ascii="Arial" w:hAnsi="Arial" w:cs="Arial"/>
          <w:sz w:val="20"/>
          <w:szCs w:val="20"/>
        </w:rPr>
        <w:t xml:space="preserve">2.2.1. </w:t>
      </w:r>
      <w:r w:rsidRPr="00DB35CA">
        <w:rPr>
          <w:rFonts w:ascii="Arial" w:hAnsi="Arial" w:cs="Arial"/>
          <w:sz w:val="20"/>
          <w:szCs w:val="20"/>
          <w:lang w:eastAsia="en-US"/>
        </w:rPr>
        <w:t xml:space="preserve">На основании </w:t>
      </w:r>
      <w:hyperlink r:id="rId8" w:history="1">
        <w:r w:rsidRPr="00DB35CA">
          <w:rPr>
            <w:rFonts w:ascii="Arial" w:hAnsi="Arial" w:cs="Arial"/>
            <w:sz w:val="20"/>
            <w:szCs w:val="20"/>
            <w:lang w:eastAsia="en-US"/>
          </w:rPr>
          <w:t>соглашений</w:t>
        </w:r>
      </w:hyperlink>
      <w:r w:rsidRPr="00DB35CA">
        <w:rPr>
          <w:rFonts w:ascii="Arial" w:hAnsi="Arial" w:cs="Arial"/>
          <w:sz w:val="20"/>
          <w:szCs w:val="20"/>
          <w:lang w:eastAsia="en-US"/>
        </w:rPr>
        <w:t xml:space="preserve"> с другими депозитариями привлекать их к исполнению своих обязанностей по хранению сертификатов ценных бумаг и/или учету прав на ценные бумаги депонентов (то есть становиться депонентом другого депозитария или принимать в качестве депонента другой депозитарий), если это прямо не запрещено депозитарным договором.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Указанные действия Депозитария не влекут изменения прав и обязанностей Сторон по настоящему Договору. Депозитарий отвечает за действия вышестоящего депозитария как за свои собственные, за исключением случаев, когда заключение договора с другим депозитарием было осуществлено на основании письменного указания Депонента.</w:t>
      </w:r>
    </w:p>
    <w:p w:rsidR="0046461F" w:rsidRPr="00666ADE" w:rsidRDefault="0046461F" w:rsidP="0007761B">
      <w:pPr>
        <w:pStyle w:val="BodyTextIndent3"/>
        <w:spacing w:line="240" w:lineRule="auto"/>
        <w:ind w:firstLine="0"/>
        <w:rPr>
          <w:rFonts w:ascii="Arial" w:hAnsi="Arial" w:cs="Arial"/>
          <w:i w:val="0"/>
          <w:iCs w:val="0"/>
          <w:sz w:val="20"/>
          <w:szCs w:val="20"/>
        </w:rPr>
      </w:pPr>
      <w:r w:rsidRPr="00666ADE">
        <w:rPr>
          <w:rFonts w:ascii="Arial" w:hAnsi="Arial" w:cs="Arial"/>
          <w:i w:val="0"/>
          <w:iCs w:val="0"/>
          <w:sz w:val="20"/>
          <w:szCs w:val="20"/>
        </w:rPr>
        <w:t xml:space="preserve">    2.2.2. Отказывать в приеме и исполнении поручений депо Депонента в случаях, установленных Регламентом.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2.2.3. Вносить изменения в Регламент в одностороннем порядке, уведомляя об этом Депонента в порядке, установленном в п.п. 11.3., 11.4. настоящего Договора.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2.2.4. В целях устранения ошибки, допущенной Депозитарием при совершении депозитарной операции, Депозитарий имеет право сделать исправительную запись по счету депо номинального держателя Депонента в соответствии с Регламентом и предостав</w:t>
      </w:r>
      <w:r>
        <w:rPr>
          <w:rFonts w:ascii="Arial" w:hAnsi="Arial" w:cs="Arial"/>
          <w:i w:val="0"/>
          <w:iCs w:val="0"/>
          <w:sz w:val="20"/>
          <w:szCs w:val="20"/>
        </w:rPr>
        <w:t>и</w:t>
      </w:r>
      <w:r w:rsidRPr="00666ADE">
        <w:rPr>
          <w:rFonts w:ascii="Arial" w:hAnsi="Arial" w:cs="Arial"/>
          <w:i w:val="0"/>
          <w:iCs w:val="0"/>
          <w:sz w:val="20"/>
          <w:szCs w:val="20"/>
        </w:rPr>
        <w:t>ть последнему отчет об исполнении операции.</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2.2.5. Закрыть счет депо номинального держателя Депонента, если в течение одного года по нему не проводилось никаких депозитарных операций и на нем не учитываются Ценные бумаги.</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2.2.6. Получать на специальный депозитарный  счет денежные средства, являющиеся доходом по Ценным бумагам, учитываемым на счете депо номинального держателя Депонента, для последующего перечисления Депоненту.</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2.2.7. В случаях, предусмотренных действующим законодательством РФ и Регламентом, проводить депозитарные операции по инициативе должностных лиц Депозитария (на основании служебных поручений), а также эмитента или регистратора (на основании глобальных поручений), в порядке и сроки, предусмотренные Регламентом, действующим законодательством Российской Федерации.</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2.2.8. Для исполнения своих обязанностей по настоящему Договору привлекать третьих лиц.</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2.3. Депонент обязан:</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2.3.1. Соблюдать требования действующего законодательства </w:t>
      </w:r>
      <w:r w:rsidRPr="00666ADE">
        <w:rPr>
          <w:rFonts w:ascii="Arial" w:hAnsi="Arial" w:cs="Arial"/>
          <w:i w:val="0"/>
          <w:iCs w:val="0"/>
          <w:kern w:val="24"/>
          <w:sz w:val="20"/>
          <w:szCs w:val="20"/>
        </w:rPr>
        <w:t>РФ</w:t>
      </w:r>
      <w:r w:rsidRPr="00666ADE">
        <w:rPr>
          <w:rFonts w:ascii="Arial" w:hAnsi="Arial" w:cs="Arial"/>
          <w:i w:val="0"/>
          <w:iCs w:val="0"/>
          <w:sz w:val="20"/>
          <w:szCs w:val="20"/>
        </w:rPr>
        <w:t>, условия настоящего Договора, Регламента.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2.3.2. Оплачивать услуги Депозитария и возмещать расходы Депозитария при оказании депозитарных услуг в порядке, в размере и в сроки, установленные настоящим Договором и Регламентом.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2.3.2. Предоставлять по требованию Депозитария документы, служащие основанием для проведения депозитарных операций.</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2.3.3. Давать поручения на зачисление на счет депо номинального держателя, открытый в соответствии с настоящим Договором, ценных бумаг клиентов Депонента, имеющих договорные отношения с последним.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2.3.4. Подавать поручения в Депозитарий на проведение операций по счету депо номинального держателя Депонента только на основании поручений, принятых от клиентов Депонента.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2.3.5. В случаях, установленных действующим законодательством РФ, в сроки и в объеме, указанные в запросе Депозитария на предоставление информации о владельцах Ценных бумаг, сообщать Депозитарию сведения о своих клиентах (депонентах) и Ценных бумагах. Предоставлять указанные сведения по форме, указанной в запросе.</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2.3.6. Указывать достоверные сведения в анкете Депонента. Незамедлительно извещать Депозитарий обо всех изменениях сведений, указанных в анкете Депонента, сведений о лицах, уполномоченных распоряжаться счетом депо номинального держателя Депонента, а также иных сведений, имеющих существенное значение для исполнения Депозитарием своих обязанностей по настоящему Договору.</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2.3.7. Незамедлительно извещать Депозитарий о прекращении действия доверенностей на уполномоченных лиц Депонента.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2.3.8. Незамедлительно извещать Депозитарий об аннулировании, приостановлении или прекращении срока действия лицензии профессионального участника рынка ценных бумаг, выданной Депоненту. В таком случае Депонент обязан представить в Депозитарий поручения на списание Ценных бумаг со счета депо.</w:t>
      </w:r>
    </w:p>
    <w:p w:rsidR="0046461F" w:rsidRPr="00666ADE" w:rsidRDefault="0046461F" w:rsidP="0007761B">
      <w:pPr>
        <w:pStyle w:val="BodyTextIndent3"/>
        <w:spacing w:line="240" w:lineRule="auto"/>
        <w:ind w:firstLine="142"/>
        <w:rPr>
          <w:rFonts w:ascii="Arial" w:hAnsi="Arial" w:cs="Arial"/>
          <w:b/>
          <w:bCs/>
          <w:i w:val="0"/>
          <w:iCs w:val="0"/>
          <w:sz w:val="20"/>
          <w:szCs w:val="20"/>
        </w:rPr>
      </w:pPr>
    </w:p>
    <w:p w:rsidR="0046461F" w:rsidRPr="00666ADE" w:rsidRDefault="0046461F" w:rsidP="0007761B">
      <w:pPr>
        <w:pStyle w:val="BodyTextIndent3"/>
        <w:spacing w:line="240" w:lineRule="auto"/>
        <w:ind w:firstLine="142"/>
        <w:rPr>
          <w:rFonts w:ascii="Arial" w:hAnsi="Arial" w:cs="Arial"/>
          <w:b/>
          <w:bCs/>
          <w:i w:val="0"/>
          <w:iCs w:val="0"/>
          <w:sz w:val="20"/>
          <w:szCs w:val="20"/>
        </w:rPr>
      </w:pPr>
      <w:r w:rsidRPr="00666ADE">
        <w:rPr>
          <w:rFonts w:ascii="Arial" w:hAnsi="Arial" w:cs="Arial"/>
          <w:b/>
          <w:bCs/>
          <w:i w:val="0"/>
          <w:iCs w:val="0"/>
          <w:sz w:val="20"/>
          <w:szCs w:val="20"/>
        </w:rPr>
        <w:t>2.4. Депонент вправе:</w:t>
      </w:r>
    </w:p>
    <w:p w:rsidR="0046461F" w:rsidRPr="00666ADE" w:rsidRDefault="0046461F" w:rsidP="00211209">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2.4.1. Подавать Депозитарию поручения, заполненные в соответствии с Регламентом, в порядке установленном Регламентом. Определение в поручении места хранения Ценных бумаг считается прямым указанием Депонента Депозитарию о выборе места хранения.</w:t>
      </w:r>
    </w:p>
    <w:p w:rsidR="0046461F" w:rsidRPr="00666ADE" w:rsidRDefault="0046461F" w:rsidP="0007761B">
      <w:pPr>
        <w:pStyle w:val="BodyTextIndent3"/>
        <w:spacing w:line="240" w:lineRule="auto"/>
        <w:ind w:firstLine="142"/>
        <w:rPr>
          <w:rFonts w:ascii="Arial" w:hAnsi="Arial" w:cs="Arial"/>
          <w:i w:val="0"/>
          <w:iCs w:val="0"/>
          <w:sz w:val="20"/>
          <w:szCs w:val="20"/>
        </w:rPr>
      </w:pP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b/>
          <w:bCs/>
          <w:i w:val="0"/>
          <w:iCs w:val="0"/>
          <w:sz w:val="20"/>
          <w:szCs w:val="20"/>
        </w:rPr>
        <w:t>3. ПОРЯДОК РАСЧЕТОВ</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3.1. Оплата услуг и возмещение расходов Депозитария осуществляется Депонентом на основании выставляемых Депозитарием счетов.</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3.2. Счета за услуги Депозитария выставляются на основании Тарифов Депозитария, содержащихся в Регламенте, ежемесячно в течение 10 (Десяти) рабочих дней, следующих за окончанием оплачиваемого месяца. Тарифы Депозитария утверждаются приказом Генерального директора </w:t>
      </w:r>
      <w:r w:rsidRPr="004622DC">
        <w:rPr>
          <w:rFonts w:ascii="Arial" w:hAnsi="Arial" w:cs="Arial"/>
          <w:b/>
          <w:bCs/>
          <w:i w:val="0"/>
          <w:iCs w:val="0"/>
          <w:sz w:val="20"/>
          <w:szCs w:val="20"/>
        </w:rPr>
        <w:t xml:space="preserve">ООО  </w:t>
      </w:r>
      <w:r>
        <w:rPr>
          <w:rFonts w:ascii="Arial" w:hAnsi="Arial" w:cs="Arial"/>
          <w:b/>
          <w:bCs/>
          <w:i w:val="0"/>
          <w:iCs w:val="0"/>
          <w:sz w:val="20"/>
          <w:szCs w:val="20"/>
        </w:rPr>
        <w:t xml:space="preserve">ИК </w:t>
      </w:r>
      <w:r w:rsidRPr="004622DC">
        <w:rPr>
          <w:rFonts w:ascii="Arial" w:hAnsi="Arial" w:cs="Arial"/>
          <w:b/>
          <w:bCs/>
          <w:i w:val="0"/>
          <w:iCs w:val="0"/>
          <w:sz w:val="20"/>
          <w:szCs w:val="20"/>
        </w:rPr>
        <w:t>«</w:t>
      </w:r>
      <w:r>
        <w:rPr>
          <w:rFonts w:ascii="Arial" w:hAnsi="Arial" w:cs="Arial"/>
          <w:b/>
          <w:bCs/>
          <w:i w:val="0"/>
          <w:iCs w:val="0"/>
          <w:sz w:val="20"/>
          <w:szCs w:val="20"/>
        </w:rPr>
        <w:t>Айсберг Финанс</w:t>
      </w:r>
      <w:r w:rsidRPr="004622DC">
        <w:rPr>
          <w:rFonts w:ascii="Arial" w:hAnsi="Arial" w:cs="Arial"/>
          <w:b/>
          <w:bCs/>
          <w:i w:val="0"/>
          <w:iCs w:val="0"/>
          <w:sz w:val="20"/>
          <w:szCs w:val="20"/>
        </w:rPr>
        <w:t>»</w:t>
      </w:r>
      <w:r w:rsidRPr="00666ADE">
        <w:rPr>
          <w:rFonts w:ascii="Arial" w:hAnsi="Arial" w:cs="Arial"/>
          <w:i w:val="0"/>
          <w:iCs w:val="0"/>
          <w:sz w:val="20"/>
          <w:szCs w:val="20"/>
        </w:rPr>
        <w:t>.</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3.3. Счета на возмещение расходов Депозитария выставляются Депозитарием на основании счетов лиц, оказавших соответствующие услуги, включающие в себя:</w:t>
      </w:r>
    </w:p>
    <w:p w:rsidR="0046461F" w:rsidRPr="00666ADE" w:rsidRDefault="0046461F" w:rsidP="0007761B">
      <w:pPr>
        <w:pStyle w:val="BodyTextIndent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 xml:space="preserve">услуги вышестоящих депозитариев, регистраторов; </w:t>
      </w:r>
    </w:p>
    <w:p w:rsidR="0046461F" w:rsidRPr="00666ADE" w:rsidRDefault="0046461F" w:rsidP="0007761B">
      <w:pPr>
        <w:pStyle w:val="BodyTextIndent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услуги трансфер-агентов и агентов по перерегистрации;</w:t>
      </w:r>
    </w:p>
    <w:p w:rsidR="0046461F" w:rsidRPr="00666ADE" w:rsidRDefault="0046461F" w:rsidP="0007761B">
      <w:pPr>
        <w:pStyle w:val="BodyTextIndent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услуги расчетных организаций;</w:t>
      </w:r>
    </w:p>
    <w:p w:rsidR="0046461F" w:rsidRPr="00666ADE" w:rsidRDefault="0046461F" w:rsidP="0007761B">
      <w:pPr>
        <w:pStyle w:val="BodyTextIndent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вознаграждение кредитных организаций за перечисление доходов по ценным бумагам в денежной форме;</w:t>
      </w:r>
    </w:p>
    <w:p w:rsidR="0046461F" w:rsidRPr="00666ADE" w:rsidRDefault="0046461F" w:rsidP="0007761B">
      <w:pPr>
        <w:pStyle w:val="BodyTextIndent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другие расходы, произведенные Депозитарием для выполнения поручений и распоряжений Депонента.</w:t>
      </w:r>
    </w:p>
    <w:p w:rsidR="0046461F" w:rsidRPr="00666ADE" w:rsidRDefault="0046461F" w:rsidP="0007761B">
      <w:pPr>
        <w:rPr>
          <w:rFonts w:ascii="Arial" w:hAnsi="Arial" w:cs="Arial"/>
          <w:sz w:val="20"/>
          <w:szCs w:val="20"/>
        </w:rPr>
      </w:pPr>
      <w:r w:rsidRPr="00666ADE">
        <w:rPr>
          <w:rFonts w:ascii="Arial" w:hAnsi="Arial" w:cs="Arial"/>
          <w:sz w:val="20"/>
          <w:szCs w:val="20"/>
        </w:rPr>
        <w:t>Выставление счетов на возмещение расходов осуществляется в течение 5 (Пяти) рабочих дней со дня получения счетов от лиц, оказавших такие услуги.</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3.4. Счет за услуги Депозитария Депонент обязан оплатить в течение 20 (Двадцати) рабочих дней, следующих за окончанием оплачиваемого месяца.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Счет на возмещение расходов Депозитария Депонент обязан оплатить в течение 5 (пяти) рабочих дней, следующих за днем выставления счета.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3.5. Депозитарий вправе удерживать денежные средства Депонента в размере суммы выставленного счета:</w:t>
      </w:r>
    </w:p>
    <w:p w:rsidR="0046461F" w:rsidRPr="00666ADE" w:rsidRDefault="0046461F" w:rsidP="0007761B">
      <w:pPr>
        <w:pStyle w:val="BodyTextIndent3"/>
        <w:spacing w:line="240" w:lineRule="auto"/>
        <w:ind w:firstLine="0"/>
        <w:rPr>
          <w:rFonts w:ascii="Arial" w:hAnsi="Arial" w:cs="Arial"/>
          <w:i w:val="0"/>
          <w:iCs w:val="0"/>
          <w:sz w:val="20"/>
          <w:szCs w:val="20"/>
          <w:highlight w:val="yellow"/>
        </w:rPr>
      </w:pPr>
      <w:r w:rsidRPr="00666ADE">
        <w:rPr>
          <w:rFonts w:ascii="Arial" w:hAnsi="Arial" w:cs="Arial"/>
          <w:i w:val="0"/>
          <w:iCs w:val="0"/>
          <w:sz w:val="20"/>
          <w:szCs w:val="20"/>
        </w:rPr>
        <w:t xml:space="preserve">из любых денежных средств Депонента, учитываемых на специальном брокерском счете </w:t>
      </w:r>
      <w:r w:rsidRPr="004622DC">
        <w:rPr>
          <w:rFonts w:ascii="Arial" w:hAnsi="Arial" w:cs="Arial"/>
          <w:b/>
          <w:bCs/>
          <w:i w:val="0"/>
          <w:iCs w:val="0"/>
          <w:sz w:val="20"/>
          <w:szCs w:val="20"/>
        </w:rPr>
        <w:t xml:space="preserve">ООО  </w:t>
      </w:r>
      <w:r>
        <w:rPr>
          <w:rFonts w:ascii="Arial" w:hAnsi="Arial" w:cs="Arial"/>
          <w:b/>
          <w:bCs/>
          <w:i w:val="0"/>
          <w:iCs w:val="0"/>
          <w:sz w:val="20"/>
          <w:szCs w:val="20"/>
        </w:rPr>
        <w:t xml:space="preserve">ИК </w:t>
      </w:r>
      <w:r w:rsidRPr="004622DC">
        <w:rPr>
          <w:rFonts w:ascii="Arial" w:hAnsi="Arial" w:cs="Arial"/>
          <w:b/>
          <w:bCs/>
          <w:i w:val="0"/>
          <w:iCs w:val="0"/>
          <w:sz w:val="20"/>
          <w:szCs w:val="20"/>
        </w:rPr>
        <w:t>«</w:t>
      </w:r>
      <w:r>
        <w:rPr>
          <w:rFonts w:ascii="Arial" w:hAnsi="Arial" w:cs="Arial"/>
          <w:b/>
          <w:bCs/>
          <w:i w:val="0"/>
          <w:iCs w:val="0"/>
          <w:sz w:val="20"/>
          <w:szCs w:val="20"/>
        </w:rPr>
        <w:t>Айсберг Финанс</w:t>
      </w:r>
      <w:r w:rsidRPr="004622DC">
        <w:rPr>
          <w:rFonts w:ascii="Arial" w:hAnsi="Arial" w:cs="Arial"/>
          <w:b/>
          <w:bCs/>
          <w:i w:val="0"/>
          <w:iCs w:val="0"/>
          <w:sz w:val="20"/>
          <w:szCs w:val="20"/>
        </w:rPr>
        <w:t>»</w:t>
      </w:r>
      <w:r w:rsidRPr="00666ADE">
        <w:rPr>
          <w:rFonts w:ascii="Arial" w:hAnsi="Arial" w:cs="Arial"/>
          <w:i w:val="0"/>
          <w:iCs w:val="0"/>
          <w:sz w:val="20"/>
          <w:szCs w:val="20"/>
        </w:rPr>
        <w:t>, в случае заключения соответствующих договоров.</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3.6. Депозитарий вправе потребовать от Депонента предварительной оплаты услуг Депозитария и/или третьих лиц, указанных в п. 3.3. настоящего Договора, в следующих случаях:</w:t>
      </w:r>
    </w:p>
    <w:p w:rsidR="0046461F" w:rsidRPr="00666ADE" w:rsidRDefault="0046461F" w:rsidP="0007761B">
      <w:pPr>
        <w:pStyle w:val="BodyTextIndent3"/>
        <w:numPr>
          <w:ilvl w:val="0"/>
          <w:numId w:val="2"/>
        </w:numPr>
        <w:tabs>
          <w:tab w:val="num" w:pos="426"/>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 xml:space="preserve">остаток ценных бумаг на счете депо Депонента в результате исполнения операции списания или перевода ценных бумаг будет равен нулю; </w:t>
      </w:r>
    </w:p>
    <w:p w:rsidR="0046461F" w:rsidRPr="00666ADE" w:rsidRDefault="0046461F" w:rsidP="0007761B">
      <w:pPr>
        <w:pStyle w:val="BodyTextIndent3"/>
        <w:numPr>
          <w:ilvl w:val="0"/>
          <w:numId w:val="2"/>
        </w:numPr>
        <w:tabs>
          <w:tab w:val="num" w:pos="426"/>
        </w:tabs>
        <w:spacing w:line="240" w:lineRule="auto"/>
        <w:ind w:left="0" w:firstLine="187"/>
        <w:rPr>
          <w:rFonts w:ascii="Arial" w:hAnsi="Arial" w:cs="Arial"/>
          <w:b/>
          <w:bCs/>
          <w:i w:val="0"/>
          <w:iCs w:val="0"/>
          <w:sz w:val="20"/>
          <w:szCs w:val="20"/>
        </w:rPr>
      </w:pPr>
      <w:r w:rsidRPr="00666ADE">
        <w:rPr>
          <w:rFonts w:ascii="Arial" w:hAnsi="Arial" w:cs="Arial"/>
          <w:i w:val="0"/>
          <w:iCs w:val="0"/>
          <w:sz w:val="20"/>
          <w:szCs w:val="20"/>
        </w:rPr>
        <w:t>исполнение поручения Депонента потребует от Депозитария единовременных расходов, превышающих 3000 рублей.</w:t>
      </w:r>
    </w:p>
    <w:p w:rsidR="0046461F" w:rsidRPr="00666ADE" w:rsidRDefault="0046461F" w:rsidP="0007761B">
      <w:pPr>
        <w:pStyle w:val="BodyTextIndent3"/>
        <w:numPr>
          <w:ilvl w:val="0"/>
          <w:numId w:val="2"/>
        </w:numPr>
        <w:tabs>
          <w:tab w:val="num" w:pos="426"/>
        </w:tabs>
        <w:spacing w:line="240" w:lineRule="auto"/>
        <w:ind w:left="0" w:firstLine="187"/>
        <w:rPr>
          <w:rFonts w:ascii="Arial" w:hAnsi="Arial" w:cs="Arial"/>
          <w:b/>
          <w:bCs/>
          <w:i w:val="0"/>
          <w:iCs w:val="0"/>
          <w:sz w:val="20"/>
          <w:szCs w:val="20"/>
        </w:rPr>
      </w:pPr>
      <w:r w:rsidRPr="00666ADE">
        <w:rPr>
          <w:rFonts w:ascii="Arial" w:hAnsi="Arial" w:cs="Arial"/>
          <w:i w:val="0"/>
          <w:iCs w:val="0"/>
          <w:sz w:val="20"/>
          <w:szCs w:val="20"/>
        </w:rPr>
        <w:t xml:space="preserve"> в случаях, предусмотренных п.п. 10.3., 10.5. настоящего Договора.</w:t>
      </w:r>
    </w:p>
    <w:p w:rsidR="0046461F" w:rsidRPr="00666ADE" w:rsidRDefault="0046461F" w:rsidP="0007761B">
      <w:pPr>
        <w:pStyle w:val="BodyTextIndent3"/>
        <w:tabs>
          <w:tab w:val="num" w:pos="426"/>
        </w:tabs>
        <w:spacing w:line="240" w:lineRule="auto"/>
        <w:ind w:left="187" w:firstLine="0"/>
        <w:rPr>
          <w:rFonts w:ascii="Arial" w:hAnsi="Arial" w:cs="Arial"/>
          <w:b/>
          <w:bCs/>
          <w:i w:val="0"/>
          <w:iCs w:val="0"/>
          <w:sz w:val="20"/>
          <w:szCs w:val="20"/>
        </w:rPr>
      </w:pPr>
    </w:p>
    <w:p w:rsidR="0046461F" w:rsidRPr="00666ADE" w:rsidRDefault="0046461F" w:rsidP="0007761B">
      <w:pPr>
        <w:widowControl w:val="0"/>
        <w:ind w:firstLine="170"/>
        <w:jc w:val="both"/>
        <w:rPr>
          <w:rFonts w:ascii="Arial" w:hAnsi="Arial" w:cs="Arial"/>
          <w:b/>
          <w:bCs/>
          <w:snapToGrid w:val="0"/>
          <w:sz w:val="20"/>
          <w:szCs w:val="20"/>
        </w:rPr>
      </w:pPr>
      <w:r w:rsidRPr="00666ADE">
        <w:rPr>
          <w:rFonts w:ascii="Arial" w:hAnsi="Arial" w:cs="Arial"/>
          <w:b/>
          <w:bCs/>
          <w:snapToGrid w:val="0"/>
          <w:sz w:val="20"/>
          <w:szCs w:val="20"/>
        </w:rPr>
        <w:t>4. УСЛОВИЯ И ПОРЯДОК ПРОВЕДЕНИЯ СВЕРКИ ПО ЦЕННЫМ БУМАГАМ</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4.1. Депозитарий и Депонент обязуются проводить (помимо ежедневной сверки) обязательную сверку по Ценным бумагам, учитываемым на счете депо номинального держателя Депонента. Обязательная сверка проводится один раз в квартал.</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4.2. Для осуществления обязательной сверки Депозитарий направляет Депоненту не позднее 5 (Пятого) числа текущего месяца выписку со счета депо номинального держателя Депонента по состоянию на конец последнего рабочего дня квартала. При получении выписки Депонент обязан произвести сверку данных, указанных в выписке, со своими учетными данными.</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4.3. В случае обнаружения расхождений учетных данных Депонент обязан уведомить Депозитарий в течение 2 (Двух) рабочих дней с даты получения выписки.</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4.4. Данные для проведения обязательной сверки Депозитарий предоставляет бесплатно.</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4.5. Стороны вправе потребовать друг у друга любые первичные документы (заверенные копии), необходимые для выявления причин расхождения.</w:t>
      </w:r>
    </w:p>
    <w:p w:rsidR="0046461F" w:rsidRPr="00666ADE" w:rsidRDefault="0046461F" w:rsidP="0007761B">
      <w:pPr>
        <w:pStyle w:val="BodyTextIndent3"/>
        <w:spacing w:line="240" w:lineRule="auto"/>
        <w:ind w:firstLine="142"/>
        <w:rPr>
          <w:rFonts w:ascii="Arial" w:hAnsi="Arial" w:cs="Arial"/>
          <w:i w:val="0"/>
          <w:iCs w:val="0"/>
          <w:sz w:val="20"/>
          <w:szCs w:val="20"/>
        </w:rPr>
      </w:pPr>
    </w:p>
    <w:p w:rsidR="0046461F" w:rsidRPr="00666ADE" w:rsidRDefault="0046461F" w:rsidP="0007761B">
      <w:pPr>
        <w:widowControl w:val="0"/>
        <w:ind w:firstLine="170"/>
        <w:jc w:val="both"/>
        <w:rPr>
          <w:rFonts w:ascii="Arial" w:hAnsi="Arial" w:cs="Arial"/>
          <w:sz w:val="20"/>
          <w:szCs w:val="20"/>
        </w:rPr>
      </w:pPr>
      <w:r w:rsidRPr="00666ADE">
        <w:rPr>
          <w:rFonts w:ascii="Arial" w:hAnsi="Arial" w:cs="Arial"/>
          <w:b/>
          <w:bCs/>
          <w:snapToGrid w:val="0"/>
          <w:sz w:val="20"/>
          <w:szCs w:val="20"/>
        </w:rPr>
        <w:t>5. ПРОЦЕДУРА ПОЛУЧЕНИЯ ИНФОРМАЦИИ О ВЛАДЕЛЬЦАХ ЦЕННЫХ БУМАГ</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5.1. Получение информации о владельцах и принадлежащих им ценных бумагах, сертификаты которых хранятся и/или права на которые учитываются на счете депо номинального держателя Депонента, осуществляется путем письменного мотивированного запроса.</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5.2. Форма запроса, его содержание и условия предоставления указанной в запросе информации устанавливаются Депозитарием.</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5.3. Депонент обязан в течение 2 (двух) рабочих дней с момента получения запроса Депозитария предоставить последнему данные о владельцах и принадлежащих им ценных бумагах, сертификаты которых хранятся и/или права на которые учитываются на счете депо номинального держателя Депонента.</w:t>
      </w:r>
    </w:p>
    <w:p w:rsidR="0046461F" w:rsidRPr="00666ADE" w:rsidRDefault="0046461F" w:rsidP="00065EEB">
      <w:pPr>
        <w:ind w:firstLine="170"/>
        <w:jc w:val="both"/>
        <w:rPr>
          <w:rFonts w:ascii="Arial" w:hAnsi="Arial" w:cs="Arial"/>
          <w:b/>
          <w:bCs/>
          <w:snapToGrid w:val="0"/>
          <w:sz w:val="20"/>
          <w:szCs w:val="20"/>
        </w:rPr>
      </w:pPr>
    </w:p>
    <w:p w:rsidR="0046461F" w:rsidRPr="00666ADE" w:rsidRDefault="0046461F" w:rsidP="0007761B">
      <w:pPr>
        <w:widowControl w:val="0"/>
        <w:ind w:firstLine="170"/>
        <w:jc w:val="both"/>
        <w:rPr>
          <w:rFonts w:ascii="Arial" w:hAnsi="Arial" w:cs="Arial"/>
          <w:b/>
          <w:bCs/>
          <w:snapToGrid w:val="0"/>
          <w:sz w:val="20"/>
          <w:szCs w:val="20"/>
        </w:rPr>
      </w:pPr>
      <w:r w:rsidRPr="00666ADE">
        <w:rPr>
          <w:rFonts w:ascii="Arial" w:hAnsi="Arial" w:cs="Arial"/>
          <w:b/>
          <w:bCs/>
          <w:snapToGrid w:val="0"/>
          <w:sz w:val="20"/>
          <w:szCs w:val="20"/>
        </w:rPr>
        <w:t>6. КОНФИДЕНЦИАЛЬНОСТЬ</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6.1. Стороны обязуются соблюдать конфиденциальность в отношении информации, ставшей им известной вследствие заключения и исполнения настоящего Договора.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6.2. Депозитарий обязуется без согласия Депонента не предоставлять кому - либо информацию о его счете депо номинального держателя Депонента и об операциях по этому счету, кроме случаев, когда предоставление информации является обязанностью Депозитария в соответствии с требованиями действующего законодательства РФ или настоящего Договора.</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7. ОТВЕТСТВЕННОСТЬ СТОРОН</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7.1. Депозитарий не несет ответственности перед Депонентом:</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убытки, причиненные в результате действий/бездействия любых уполномоченных Депонентом лиц (оператора счета депо, распорядителя счета депо и т.д.),</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 xml:space="preserve">за </w:t>
      </w:r>
      <w:r w:rsidRPr="00666ADE">
        <w:rPr>
          <w:rFonts w:ascii="Arial" w:hAnsi="Arial" w:cs="Arial"/>
          <w:sz w:val="20"/>
          <w:szCs w:val="20"/>
        </w:rPr>
        <w:t>убытки, причиненные вследствие невыполнения или  ненадлежащего выполнения Депонентом обязательств, предусмотренных п. 2.3.6., 2.3.7. настоящего Договора</w:t>
      </w:r>
      <w:r w:rsidRPr="00666ADE">
        <w:rPr>
          <w:rFonts w:ascii="Arial" w:hAnsi="Arial" w:cs="Arial"/>
          <w:snapToGrid w:val="0"/>
          <w:sz w:val="20"/>
          <w:szCs w:val="20"/>
        </w:rPr>
        <w:t>;</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непредставление или несвоевременное представление списков владельцев именных ценных бумаг в случае неполучения или несвоевременного получения соответствующего запроса от эмитента, регистратора, вышестоящего депозитария;</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действия/бездействие третьих лиц, включая, но не ограничиваясь:</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неисполнение эмитентом своих обязательств по Ценным бумагам;</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неправомерные действия эмитента или регистратора;</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предоставления регистратором и/или эмитентом и/или другим депозитарием неточной и/или неполной информации.</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несоблюдение Депонентом ограничений, связанных с владением и обращением отдельных видов Ценных бумаг;</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убытки, причиненные в результате действий/бездействия вышестоящего депозитария, если выбор такового был обусловлен прямым указанием Депонента;</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z w:val="20"/>
          <w:szCs w:val="20"/>
        </w:rPr>
        <w:t>7.2. В случае задержки выполнения Депонентом обязательств, предусмотренных пунктом 3.4. настоящего Договора Депонент выплачивает Депозитарию неустойку в размере 0,5 % (Ноль целых пять десятых) процента от подлежащей оплате суммы за каждый календарный день просрочки, но не более 10 % (Десяти) процентов от указанной суммы.</w:t>
      </w:r>
    </w:p>
    <w:p w:rsidR="0046461F" w:rsidRPr="00666ADE" w:rsidRDefault="0046461F" w:rsidP="0007761B">
      <w:pPr>
        <w:pStyle w:val="BodyTextIndent"/>
        <w:ind w:left="0" w:firstLine="142"/>
        <w:rPr>
          <w:rFonts w:ascii="Arial" w:hAnsi="Arial" w:cs="Arial"/>
          <w:sz w:val="20"/>
          <w:szCs w:val="20"/>
        </w:rPr>
      </w:pPr>
      <w:r w:rsidRPr="00666ADE">
        <w:rPr>
          <w:rFonts w:ascii="Arial" w:hAnsi="Arial" w:cs="Arial"/>
          <w:sz w:val="20"/>
          <w:szCs w:val="20"/>
        </w:rPr>
        <w:t>7.3. Депозитарий обязан возместить Депоненту убытки, причиненные последнему в случае невыполнения или ненадлежащего выполнения Депозитарием условий настоящего Договора, если не докажет, что убытки возникли вследствие обстоятельств, не зависящих от него.</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8. ФОРС-МАЖОР</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 xml:space="preserve">8.1. Любая из Сторон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или предотвратить. К таким обстоятельствам относятся: наводнения, пожар, землетрясение и иные явления природы, а также военные действия, акты или действия государственных органов, препятствующие выполнению Сторонами обязательств по настоящему Договору. </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8.2.</w:t>
      </w:r>
      <w:r w:rsidRPr="00666ADE">
        <w:rPr>
          <w:rFonts w:ascii="Arial" w:hAnsi="Arial" w:cs="Arial"/>
          <w:b/>
          <w:bCs/>
          <w:sz w:val="20"/>
          <w:szCs w:val="20"/>
        </w:rPr>
        <w:t xml:space="preserve"> </w:t>
      </w:r>
      <w:r w:rsidRPr="00666ADE">
        <w:rPr>
          <w:rFonts w:ascii="Arial" w:hAnsi="Arial" w:cs="Arial"/>
          <w:sz w:val="20"/>
          <w:szCs w:val="20"/>
        </w:rPr>
        <w:t>При наступлении обстоятельств, указанных в п. 8.1. настоящего Договора, Сторона, подвергшаяся их действию, должна без промедления, не позднее чем в течение 3 (Трех) рабочих дней со дня наступления форс-мажорных обстоятельств, известить о них другую Сторону в письменной форме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8.3. Неизвещение или несвоевременное извещение другой Стороны о наступлении форс-мажорных обстоятельств влечет за собой утрату права ссылаться на эти обстоятельства.</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8.4. В случаях наступления обстоятельств, предусмотренных в п. 8.1. настоящего Договора, срок выполнения Стороной обязательств по настоящему Договору переносится соразмерно времени, в течение которого действуют эти обстоятельства и/или</w:t>
      </w:r>
      <w:r w:rsidRPr="00666ADE">
        <w:rPr>
          <w:rFonts w:ascii="Arial" w:hAnsi="Arial" w:cs="Arial"/>
          <w:color w:val="FF0000"/>
          <w:sz w:val="20"/>
          <w:szCs w:val="20"/>
        </w:rPr>
        <w:t xml:space="preserve"> </w:t>
      </w:r>
      <w:r w:rsidRPr="00666ADE">
        <w:rPr>
          <w:rFonts w:ascii="Arial" w:hAnsi="Arial" w:cs="Arial"/>
          <w:sz w:val="20"/>
          <w:szCs w:val="20"/>
        </w:rPr>
        <w:t>их последствия.</w:t>
      </w:r>
    </w:p>
    <w:p w:rsidR="0046461F" w:rsidRPr="00666ADE" w:rsidRDefault="0046461F" w:rsidP="0007761B">
      <w:pPr>
        <w:pStyle w:val="BodyText"/>
        <w:ind w:firstLine="142"/>
        <w:rPr>
          <w:rFonts w:ascii="Arial" w:hAnsi="Arial" w:cs="Arial"/>
          <w:sz w:val="20"/>
          <w:szCs w:val="20"/>
        </w:rPr>
      </w:pPr>
      <w:r w:rsidRPr="00666ADE">
        <w:rPr>
          <w:rFonts w:ascii="Arial" w:hAnsi="Arial" w:cs="Arial"/>
          <w:sz w:val="20"/>
          <w:szCs w:val="20"/>
        </w:rPr>
        <w:t>8.5. В случае если форс-мажорные обстоятельства длятся более одного месяца, то любая из Сторон имеет право расторгнуть настоящий Договор.</w:t>
      </w:r>
    </w:p>
    <w:p w:rsidR="0046461F" w:rsidRPr="00666ADE" w:rsidRDefault="0046461F" w:rsidP="0007761B">
      <w:pPr>
        <w:pStyle w:val="BodyTextIndent"/>
        <w:ind w:left="0" w:firstLine="142"/>
        <w:rPr>
          <w:rFonts w:ascii="Arial" w:hAnsi="Arial" w:cs="Arial"/>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9. ПОРЯДОК РАЗРЕШЕНИЯ СПОРОВ</w:t>
      </w:r>
    </w:p>
    <w:p w:rsidR="0046461F" w:rsidRPr="00666ADE" w:rsidRDefault="0046461F" w:rsidP="0007761B">
      <w:pPr>
        <w:pStyle w:val="BodyTextIndent"/>
        <w:ind w:left="0" w:firstLine="142"/>
        <w:rPr>
          <w:rFonts w:ascii="Arial" w:hAnsi="Arial" w:cs="Arial"/>
          <w:sz w:val="20"/>
          <w:szCs w:val="20"/>
        </w:rPr>
      </w:pPr>
      <w:r w:rsidRPr="00666ADE">
        <w:rPr>
          <w:rFonts w:ascii="Arial" w:hAnsi="Arial" w:cs="Arial"/>
          <w:sz w:val="20"/>
          <w:szCs w:val="20"/>
        </w:rPr>
        <w:t>9.1.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6461F" w:rsidRPr="00666ADE" w:rsidRDefault="0046461F" w:rsidP="0007761B">
      <w:pPr>
        <w:pStyle w:val="BodyTextIndent"/>
        <w:ind w:left="0" w:firstLine="142"/>
        <w:rPr>
          <w:rFonts w:ascii="Arial" w:hAnsi="Arial" w:cs="Arial"/>
          <w:sz w:val="20"/>
          <w:szCs w:val="20"/>
        </w:rPr>
      </w:pPr>
      <w:r w:rsidRPr="00666ADE">
        <w:rPr>
          <w:rFonts w:ascii="Arial" w:hAnsi="Arial" w:cs="Arial"/>
          <w:sz w:val="20"/>
          <w:szCs w:val="20"/>
        </w:rPr>
        <w:t>9.2. В случае невозможности разрешения разногласий путем переговоров, любой спор, разногласие, требование или претензия, возникающие или касающиеся настоящего Договора, либо его нарушения, прекращения или недействительности подлежат передаче на рассмотрение в арбитражный суд в соответствии с действующим законодательством РФ.</w:t>
      </w:r>
    </w:p>
    <w:p w:rsidR="0046461F" w:rsidRPr="00666ADE" w:rsidRDefault="0046461F" w:rsidP="0007761B">
      <w:pPr>
        <w:pStyle w:val="BodyTextIndent"/>
        <w:ind w:left="0" w:firstLine="142"/>
        <w:rPr>
          <w:rFonts w:ascii="Arial" w:hAnsi="Arial" w:cs="Arial"/>
          <w:sz w:val="20"/>
          <w:szCs w:val="20"/>
        </w:rPr>
      </w:pPr>
      <w:r w:rsidRPr="00666ADE">
        <w:rPr>
          <w:rFonts w:ascii="Arial" w:hAnsi="Arial" w:cs="Arial"/>
          <w:sz w:val="20"/>
          <w:szCs w:val="20"/>
        </w:rPr>
        <w:t>9.3. Все вопросы, неурегулированные настоящим Договором, разрешаются в соответствии с действующим законодательством РФ.</w:t>
      </w:r>
    </w:p>
    <w:p w:rsidR="0046461F" w:rsidRPr="00666ADE" w:rsidRDefault="0046461F" w:rsidP="0007761B">
      <w:pPr>
        <w:pStyle w:val="BodyTextIndent"/>
        <w:ind w:left="0" w:firstLine="142"/>
        <w:rPr>
          <w:rFonts w:ascii="Arial" w:hAnsi="Arial" w:cs="Arial"/>
          <w:sz w:val="20"/>
          <w:szCs w:val="20"/>
        </w:rPr>
      </w:pPr>
    </w:p>
    <w:p w:rsidR="0046461F" w:rsidRPr="00666ADE" w:rsidRDefault="0046461F" w:rsidP="0007761B">
      <w:pPr>
        <w:pStyle w:val="BodyTextIndent"/>
        <w:ind w:left="0" w:firstLine="142"/>
        <w:rPr>
          <w:rFonts w:ascii="Arial" w:hAnsi="Arial" w:cs="Arial"/>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10. СРОК ДЕЙСТВИЯ И УСЛОВИЯ РАСТОРЖЕНИЯ НАСТОЯЩЕГО ДОГОВОРА</w:t>
      </w:r>
    </w:p>
    <w:p w:rsidR="0046461F" w:rsidRPr="00666ADE" w:rsidRDefault="0046461F" w:rsidP="0007761B">
      <w:pPr>
        <w:widowControl w:val="0"/>
        <w:ind w:firstLine="142"/>
        <w:jc w:val="both"/>
        <w:rPr>
          <w:rFonts w:ascii="Arial" w:hAnsi="Arial" w:cs="Arial"/>
          <w:sz w:val="20"/>
          <w:szCs w:val="20"/>
        </w:rPr>
      </w:pPr>
      <w:r w:rsidRPr="00666ADE">
        <w:rPr>
          <w:rFonts w:ascii="Arial" w:hAnsi="Arial" w:cs="Arial"/>
          <w:snapToGrid w:val="0"/>
          <w:sz w:val="20"/>
          <w:szCs w:val="20"/>
        </w:rPr>
        <w:t xml:space="preserve">10.1. </w:t>
      </w:r>
      <w:r w:rsidRPr="00666ADE">
        <w:rPr>
          <w:rFonts w:ascii="Arial" w:hAnsi="Arial" w:cs="Arial"/>
          <w:sz w:val="20"/>
          <w:szCs w:val="20"/>
        </w:rPr>
        <w:t>Настоящий Договор вступает в силу с момента подписания и действует бессрочно.</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10.2. Каждая Сторона имеет право отказаться от исполнения настоящего Договора в одностороннем порядке.</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10.3. В случае одностороннего отказа от исполнения настоящего Договора, Сторона-инициатор обязана письменно уведомить о предстоящем расторжении другую Сторону не менее чем за 1 (Один) месяц до даты расторжения. В течение этого срока Депонент обязан подать поручения на списание всех Ценных бумаг со счета депо номинального держателя Депонента, открытого в Депозитарии, на счета, открытые в   реестр</w:t>
      </w:r>
      <w:r>
        <w:rPr>
          <w:rFonts w:ascii="Arial" w:hAnsi="Arial" w:cs="Arial"/>
          <w:i w:val="0"/>
          <w:iCs w:val="0"/>
          <w:sz w:val="20"/>
          <w:szCs w:val="20"/>
        </w:rPr>
        <w:t>е</w:t>
      </w:r>
      <w:r w:rsidRPr="00666ADE">
        <w:rPr>
          <w:rFonts w:ascii="Arial" w:hAnsi="Arial" w:cs="Arial"/>
          <w:i w:val="0"/>
          <w:iCs w:val="0"/>
          <w:sz w:val="20"/>
          <w:szCs w:val="20"/>
        </w:rPr>
        <w:t xml:space="preserve"> владельцев именных ценных бумаг, или на счета депо в другие депозитарии, и предварительно оплатить счет за услуги, связанные с выполнением данных поручений, а также счет на возмещение расходов Депозитария по исполнению таких поручений.</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10.4. Договор считается прекратившим свое действие только после полной оплаты Депонентом услуг, возмещения расходов Депозитария по оказанию услуг, предусмотренных настоящим Договором, и исполнения Депозитарием указанных в п. 10.3. настоящего Договора поручений Депонента.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10.5. Оказание услуг после расторжения настоящего Договора (перечисление поступивших доходов, предоставление отчетов и т.д.) осуществляется в порядке, указанном в Регламенте. Стоимость услуг Депозитария в этом случае определяется Регламентом. Депозитарий вправе требовать предварительной оплаты данных услуг.</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10.6. Если иное не установлено распоряжением бывшего Депонента, перечисление доходов и отправка корреспонденции в его адрес производится по реквизитам, указанным в анкете Депонента на момент прекращения действия настоящего Договора.</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b/>
          <w:bCs/>
          <w:snapToGrid w:val="0"/>
          <w:sz w:val="20"/>
          <w:szCs w:val="20"/>
        </w:rPr>
        <w:t>11. ПРОЧИЕ УСЛОВИЯ</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11.1. Настоящий Договор составлен в двух экземплярах, имеющих одинаковую юридическую силу, по одному для каждой из Сторон.</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11.2. Изменения и дополнения в настоящий Договор вносятся по взаимному согласию Сторон, оформленному в письменном виде и подписанному полномочными представителями Сторон, за исключением случаев, предусмотренных п. 2.2.3. настоящего Договора.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11.3. В случае внесения изменений и (или) дополнений в Регламент в одностороннем порядке по инициативе Депозитария последний обязуется в срок не позднее чем за 10 (Десять) дней до даты вступления указанных изменений в силу уведомить Депонента об изменениях посредством размещения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-сайте Депозитария и доске объявлений в офисе Депозитария.</w:t>
      </w:r>
    </w:p>
    <w:p w:rsidR="0046461F" w:rsidRPr="00666ADE" w:rsidRDefault="0046461F" w:rsidP="0007761B">
      <w:pPr>
        <w:ind w:firstLine="284"/>
        <w:jc w:val="both"/>
        <w:rPr>
          <w:rFonts w:ascii="Arial" w:hAnsi="Arial" w:cs="Arial"/>
          <w:sz w:val="20"/>
          <w:szCs w:val="20"/>
        </w:rPr>
      </w:pPr>
      <w:r w:rsidRPr="00666ADE">
        <w:rPr>
          <w:rFonts w:ascii="Arial" w:hAnsi="Arial" w:cs="Arial"/>
          <w:sz w:val="20"/>
          <w:szCs w:val="20"/>
        </w:rPr>
        <w:t>В случае если внесение изменений и дополнений в Регламент обусловлено изменением нормативных правовых актов РФ, регламентирующих порядок осуществления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11.4. После размещения указанной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 xml:space="preserve">-сайте Депозитария считается, что Депозитарий уведомил Депонента о внесении изменений и дополнений в настоящий Договор. Датой уведомления считается дата размещения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-сайте и доске объявлений в офисе Депозитария. Ответственность за получение указанной информации лежит на Депоненте.</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11.5. Депонентам рекомендуется просматривать </w:t>
      </w:r>
      <w:r w:rsidRPr="00666ADE">
        <w:rPr>
          <w:rFonts w:ascii="Arial" w:hAnsi="Arial" w:cs="Arial"/>
          <w:i w:val="0"/>
          <w:iCs w:val="0"/>
          <w:sz w:val="20"/>
          <w:szCs w:val="20"/>
          <w:lang w:val="en-US"/>
        </w:rPr>
        <w:t>WEB</w:t>
      </w:r>
      <w:r w:rsidRPr="00666ADE">
        <w:rPr>
          <w:rFonts w:ascii="Arial" w:hAnsi="Arial" w:cs="Arial"/>
          <w:i w:val="0"/>
          <w:iCs w:val="0"/>
          <w:sz w:val="20"/>
          <w:szCs w:val="20"/>
        </w:rPr>
        <w:t>-сайт Депозитария.</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11.6. Подписывая настоящий Договор, Депонент подтверждает, что он ознакомлен с Регламентом, являющимся его неотъемлемой частью.</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11.7. При исполнении обязательств по настоящему Договору Стороны используют следующие средства связи: почта, факсимильная связь, электронная почта, курьерская почта.</w:t>
      </w:r>
    </w:p>
    <w:p w:rsidR="0046461F" w:rsidRPr="00666ADE" w:rsidRDefault="0046461F" w:rsidP="0007761B">
      <w:pPr>
        <w:pStyle w:val="BodyTextIndent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11.8. Депозитарий для передачи информации Депоненту использует адреса для связи, указанные в анкете Депонента. Стороны признают обмен факсимильными сообщениями в случаях, предусмотренных Регламентом, в качестве письменной формы обмена информацией. Стороны договорились также признавать такие сообщения доказательствами при рассмотрении любых разногласий, в том числе в суде. </w:t>
      </w:r>
    </w:p>
    <w:p w:rsidR="0046461F" w:rsidRPr="00666ADE" w:rsidRDefault="0046461F" w:rsidP="0007761B">
      <w:pPr>
        <w:rPr>
          <w:rFonts w:ascii="Arial" w:hAnsi="Arial" w:cs="Arial"/>
          <w:sz w:val="20"/>
          <w:szCs w:val="20"/>
        </w:rPr>
      </w:pPr>
    </w:p>
    <w:p w:rsidR="0046461F" w:rsidRPr="00666ADE" w:rsidRDefault="0046461F" w:rsidP="0007761B">
      <w:pPr>
        <w:rPr>
          <w:rFonts w:ascii="Arial" w:hAnsi="Arial" w:cs="Arial"/>
          <w:sz w:val="20"/>
          <w:szCs w:val="20"/>
        </w:rPr>
      </w:pPr>
    </w:p>
    <w:p w:rsidR="0046461F" w:rsidRPr="00666ADE" w:rsidRDefault="0046461F" w:rsidP="0007761B">
      <w:pPr>
        <w:rPr>
          <w:rFonts w:ascii="Arial" w:hAnsi="Arial" w:cs="Arial"/>
          <w:sz w:val="20"/>
          <w:szCs w:val="20"/>
        </w:rPr>
      </w:pPr>
      <w:r w:rsidRPr="00666ADE">
        <w:rPr>
          <w:rFonts w:ascii="Arial" w:hAnsi="Arial" w:cs="Arial"/>
          <w:b/>
          <w:bCs/>
          <w:snapToGrid w:val="0"/>
          <w:sz w:val="20"/>
          <w:szCs w:val="20"/>
        </w:rPr>
        <w:t>11.</w:t>
      </w:r>
      <w:r w:rsidRPr="00666ADE">
        <w:rPr>
          <w:rFonts w:ascii="Arial" w:hAnsi="Arial" w:cs="Arial"/>
          <w:b/>
          <w:bCs/>
          <w:snapToGrid w:val="0"/>
          <w:sz w:val="20"/>
          <w:szCs w:val="20"/>
          <w:lang w:val="en-US"/>
        </w:rPr>
        <w:t xml:space="preserve"> </w:t>
      </w:r>
      <w:r w:rsidRPr="00666ADE">
        <w:rPr>
          <w:rFonts w:ascii="Arial" w:hAnsi="Arial" w:cs="Arial"/>
          <w:b/>
          <w:bCs/>
          <w:snapToGrid w:val="0"/>
          <w:sz w:val="20"/>
          <w:szCs w:val="20"/>
        </w:rPr>
        <w:t>РЕКВИЗИТЫ СТОРОН</w:t>
      </w:r>
    </w:p>
    <w:tbl>
      <w:tblPr>
        <w:tblpPr w:leftFromText="180" w:rightFromText="180" w:bottomFromText="200" w:vertAnchor="text" w:horzAnchor="margin" w:tblpY="747"/>
        <w:tblW w:w="10860" w:type="dxa"/>
        <w:tblLayout w:type="fixed"/>
        <w:tblLook w:val="00A0"/>
      </w:tblPr>
      <w:tblGrid>
        <w:gridCol w:w="5208"/>
        <w:gridCol w:w="284"/>
        <w:gridCol w:w="5368"/>
      </w:tblGrid>
      <w:tr w:rsidR="0046461F" w:rsidRPr="00666ADE">
        <w:tc>
          <w:tcPr>
            <w:tcW w:w="5208" w:type="dxa"/>
          </w:tcPr>
          <w:p w:rsidR="0046461F" w:rsidRPr="00666ADE" w:rsidRDefault="0046461F" w:rsidP="00E33931">
            <w:pPr>
              <w:widowControl w:val="0"/>
              <w:spacing w:line="276" w:lineRule="auto"/>
              <w:jc w:val="both"/>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ДЕПОЗИТАРИЙ: </w:t>
            </w:r>
          </w:p>
          <w:p w:rsidR="0046461F" w:rsidRPr="00666ADE" w:rsidRDefault="0046461F" w:rsidP="004A0E07">
            <w:pPr>
              <w:widowControl w:val="0"/>
              <w:spacing w:line="276" w:lineRule="auto"/>
              <w:jc w:val="both"/>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ООО </w:t>
            </w:r>
            <w:r>
              <w:rPr>
                <w:rFonts w:ascii="Arial" w:hAnsi="Arial" w:cs="Arial"/>
                <w:b/>
                <w:bCs/>
                <w:snapToGrid w:val="0"/>
                <w:sz w:val="20"/>
                <w:szCs w:val="20"/>
                <w:lang w:eastAsia="en-US"/>
              </w:rPr>
              <w:t xml:space="preserve">ИК </w:t>
            </w:r>
            <w:r w:rsidRPr="00666ADE">
              <w:rPr>
                <w:rFonts w:ascii="Arial" w:hAnsi="Arial" w:cs="Arial"/>
                <w:b/>
                <w:bCs/>
                <w:snapToGrid w:val="0"/>
                <w:sz w:val="20"/>
                <w:szCs w:val="20"/>
                <w:lang w:eastAsia="en-US"/>
              </w:rPr>
              <w:t>«</w:t>
            </w:r>
            <w:r>
              <w:rPr>
                <w:rFonts w:ascii="Arial" w:hAnsi="Arial" w:cs="Arial"/>
                <w:b/>
                <w:bCs/>
                <w:snapToGrid w:val="0"/>
                <w:sz w:val="20"/>
                <w:szCs w:val="20"/>
                <w:lang w:eastAsia="en-US"/>
              </w:rPr>
              <w:t>Айсберг Финанс</w:t>
            </w:r>
            <w:r w:rsidRPr="00666ADE">
              <w:rPr>
                <w:rFonts w:ascii="Arial" w:hAnsi="Arial" w:cs="Arial"/>
                <w:b/>
                <w:bCs/>
                <w:snapToGrid w:val="0"/>
                <w:sz w:val="20"/>
                <w:szCs w:val="20"/>
                <w:lang w:eastAsia="en-US"/>
              </w:rPr>
              <w:t>»</w:t>
            </w:r>
          </w:p>
        </w:tc>
        <w:tc>
          <w:tcPr>
            <w:tcW w:w="284" w:type="dxa"/>
          </w:tcPr>
          <w:p w:rsidR="0046461F" w:rsidRPr="00666ADE" w:rsidRDefault="0046461F" w:rsidP="00E33931">
            <w:pPr>
              <w:widowControl w:val="0"/>
              <w:spacing w:line="276" w:lineRule="auto"/>
              <w:rPr>
                <w:rFonts w:ascii="Arial" w:hAnsi="Arial" w:cs="Arial"/>
                <w:b/>
                <w:bCs/>
                <w:snapToGrid w:val="0"/>
                <w:sz w:val="20"/>
                <w:szCs w:val="20"/>
                <w:lang w:eastAsia="en-US"/>
              </w:rPr>
            </w:pPr>
          </w:p>
        </w:tc>
        <w:tc>
          <w:tcPr>
            <w:tcW w:w="5368" w:type="dxa"/>
          </w:tcPr>
          <w:p w:rsidR="0046461F" w:rsidRPr="00666ADE" w:rsidRDefault="0046461F" w:rsidP="00E33931">
            <w:pPr>
              <w:widowControl w:val="0"/>
              <w:spacing w:line="276" w:lineRule="auto"/>
              <w:rPr>
                <w:rFonts w:ascii="Arial" w:hAnsi="Arial" w:cs="Arial"/>
                <w:b/>
                <w:bCs/>
                <w:snapToGrid w:val="0"/>
                <w:sz w:val="20"/>
                <w:szCs w:val="20"/>
                <w:lang w:eastAsia="en-US"/>
              </w:rPr>
            </w:pPr>
            <w:r w:rsidRPr="00666ADE">
              <w:rPr>
                <w:rFonts w:ascii="Arial" w:hAnsi="Arial" w:cs="Arial"/>
                <w:b/>
                <w:bCs/>
                <w:snapToGrid w:val="0"/>
                <w:sz w:val="20"/>
                <w:szCs w:val="20"/>
                <w:lang w:eastAsia="en-US"/>
              </w:rPr>
              <w:t>ДЕПОНЕНТ:</w:t>
            </w:r>
          </w:p>
        </w:tc>
      </w:tr>
      <w:tr w:rsidR="0046461F" w:rsidRPr="00666ADE">
        <w:tc>
          <w:tcPr>
            <w:tcW w:w="5208" w:type="dxa"/>
          </w:tcPr>
          <w:p w:rsidR="0046461F" w:rsidRPr="00666ADE" w:rsidRDefault="0046461F" w:rsidP="00E33931">
            <w:pPr>
              <w:widowControl w:val="0"/>
              <w:spacing w:line="276" w:lineRule="auto"/>
              <w:rPr>
                <w:rFonts w:ascii="Arial" w:hAnsi="Arial" w:cs="Arial"/>
                <w:snapToGrid w:val="0"/>
                <w:sz w:val="20"/>
                <w:szCs w:val="20"/>
                <w:lang w:eastAsia="en-US"/>
              </w:rPr>
            </w:pPr>
          </w:p>
          <w:p w:rsidR="0046461F" w:rsidRPr="009A4031" w:rsidRDefault="0046461F" w:rsidP="00C635BA">
            <w:pPr>
              <w:widowControl w:val="0"/>
              <w:rPr>
                <w:rFonts w:ascii="Bookman Old Style" w:hAnsi="Bookman Old Style" w:cs="Bookman Old Style"/>
                <w:b/>
                <w:bCs/>
                <w:snapToGrid w:val="0"/>
                <w:sz w:val="20"/>
                <w:szCs w:val="20"/>
              </w:rPr>
            </w:pPr>
            <w:r w:rsidRPr="0028612E">
              <w:rPr>
                <w:rFonts w:ascii="Arial" w:hAnsi="Arial" w:cs="Arial"/>
                <w:b/>
                <w:bCs/>
                <w:snapToGrid w:val="0"/>
                <w:sz w:val="20"/>
                <w:szCs w:val="20"/>
              </w:rPr>
              <w:t xml:space="preserve">Место нахождения: </w:t>
            </w:r>
            <w:r w:rsidRPr="00C635BA">
              <w:rPr>
                <w:rFonts w:ascii="Bookman Old Style" w:hAnsi="Bookman Old Style" w:cs="Bookman Old Style"/>
                <w:sz w:val="20"/>
                <w:szCs w:val="20"/>
              </w:rPr>
              <w:t>121059, г. Москва, МЖД Киевское 5-й км., д.1, стр.1,2, помещ. 25</w:t>
            </w:r>
          </w:p>
          <w:p w:rsidR="0046461F" w:rsidRPr="0028612E" w:rsidRDefault="0046461F" w:rsidP="00666ADE">
            <w:pPr>
              <w:widowControl w:val="0"/>
              <w:rPr>
                <w:rFonts w:ascii="Arial" w:hAnsi="Arial" w:cs="Arial"/>
                <w:b/>
                <w:bCs/>
                <w:snapToGrid w:val="0"/>
                <w:sz w:val="20"/>
                <w:szCs w:val="20"/>
              </w:rPr>
            </w:pPr>
          </w:p>
          <w:p w:rsidR="0046461F" w:rsidRPr="0028612E" w:rsidRDefault="0046461F" w:rsidP="00E33931">
            <w:pPr>
              <w:widowControl w:val="0"/>
              <w:spacing w:line="276" w:lineRule="auto"/>
              <w:jc w:val="both"/>
              <w:rPr>
                <w:rFonts w:ascii="Arial" w:hAnsi="Arial" w:cs="Arial"/>
                <w:snapToGrid w:val="0"/>
                <w:sz w:val="20"/>
                <w:szCs w:val="20"/>
              </w:rPr>
            </w:pPr>
            <w:r w:rsidRPr="0028612E">
              <w:rPr>
                <w:rFonts w:ascii="Arial" w:hAnsi="Arial" w:cs="Arial"/>
                <w:b/>
                <w:bCs/>
                <w:snapToGrid w:val="0"/>
                <w:sz w:val="20"/>
                <w:szCs w:val="20"/>
              </w:rPr>
              <w:t>Тел</w:t>
            </w:r>
            <w:r>
              <w:rPr>
                <w:rFonts w:ascii="Arial" w:hAnsi="Arial" w:cs="Arial"/>
                <w:snapToGrid w:val="0"/>
                <w:sz w:val="20"/>
                <w:szCs w:val="20"/>
              </w:rPr>
              <w:t xml:space="preserve">: </w:t>
            </w:r>
            <w:r w:rsidRPr="004A0E07">
              <w:rPr>
                <w:rFonts w:ascii="Arial" w:hAnsi="Arial" w:cs="Arial"/>
                <w:snapToGrid w:val="0"/>
                <w:sz w:val="20"/>
                <w:szCs w:val="20"/>
              </w:rPr>
              <w:t>(499) 290-02-52</w:t>
            </w:r>
          </w:p>
          <w:p w:rsidR="0046461F" w:rsidRPr="0028612E" w:rsidRDefault="0046461F" w:rsidP="00E33931">
            <w:pPr>
              <w:widowControl w:val="0"/>
              <w:spacing w:line="276" w:lineRule="auto"/>
              <w:jc w:val="both"/>
              <w:rPr>
                <w:rFonts w:ascii="Arial" w:hAnsi="Arial" w:cs="Arial"/>
                <w:snapToGrid w:val="0"/>
                <w:sz w:val="20"/>
                <w:szCs w:val="20"/>
              </w:rPr>
            </w:pPr>
            <w:r w:rsidRPr="0028612E">
              <w:rPr>
                <w:rFonts w:ascii="Arial" w:hAnsi="Arial" w:cs="Arial"/>
                <w:snapToGrid w:val="0"/>
                <w:sz w:val="20"/>
                <w:szCs w:val="20"/>
              </w:rPr>
              <w:t xml:space="preserve">ОГРН </w:t>
            </w:r>
            <w:r w:rsidRPr="004A0E07">
              <w:rPr>
                <w:rFonts w:ascii="Arial" w:hAnsi="Arial" w:cs="Arial"/>
                <w:sz w:val="20"/>
                <w:szCs w:val="20"/>
              </w:rPr>
              <w:t>1147746970106</w:t>
            </w:r>
            <w:r>
              <w:rPr>
                <w:rFonts w:ascii="Arial" w:hAnsi="Arial" w:cs="Arial"/>
                <w:sz w:val="20"/>
                <w:szCs w:val="20"/>
              </w:rPr>
              <w:t xml:space="preserve"> </w:t>
            </w:r>
            <w:r w:rsidRPr="0028612E">
              <w:rPr>
                <w:rFonts w:ascii="Arial" w:hAnsi="Arial" w:cs="Arial"/>
                <w:sz w:val="20"/>
                <w:szCs w:val="20"/>
              </w:rPr>
              <w:t xml:space="preserve">ИНН </w:t>
            </w:r>
            <w:r w:rsidRPr="004A0E07">
              <w:rPr>
                <w:rFonts w:ascii="Arial" w:hAnsi="Arial" w:cs="Arial"/>
                <w:sz w:val="20"/>
                <w:szCs w:val="20"/>
              </w:rPr>
              <w:t>7734731423</w:t>
            </w:r>
          </w:p>
          <w:p w:rsidR="0046461F" w:rsidRPr="0028612E" w:rsidRDefault="0046461F" w:rsidP="00E33931">
            <w:pPr>
              <w:widowControl w:val="0"/>
              <w:spacing w:line="276" w:lineRule="auto"/>
              <w:jc w:val="both"/>
              <w:rPr>
                <w:rFonts w:ascii="Arial" w:hAnsi="Arial" w:cs="Arial"/>
                <w:snapToGrid w:val="0"/>
                <w:sz w:val="20"/>
                <w:szCs w:val="20"/>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r>
              <w:rPr>
                <w:rFonts w:ascii="Arial" w:hAnsi="Arial" w:cs="Arial"/>
                <w:b/>
                <w:bCs/>
                <w:snapToGrid w:val="0"/>
                <w:sz w:val="20"/>
                <w:szCs w:val="20"/>
                <w:lang w:eastAsia="en-US"/>
              </w:rPr>
              <w:t>Банковские реквизиты</w:t>
            </w:r>
            <w:r w:rsidRPr="004622DC">
              <w:rPr>
                <w:rFonts w:ascii="Arial" w:hAnsi="Arial" w:cs="Arial"/>
                <w:b/>
                <w:bCs/>
                <w:snapToGrid w:val="0"/>
                <w:sz w:val="20"/>
                <w:szCs w:val="20"/>
                <w:lang w:eastAsia="en-US"/>
              </w:rPr>
              <w:t>:</w:t>
            </w:r>
          </w:p>
          <w:p w:rsidR="0046461F" w:rsidRDefault="0046461F" w:rsidP="00E33931">
            <w:pPr>
              <w:widowControl w:val="0"/>
              <w:spacing w:line="276" w:lineRule="auto"/>
              <w:jc w:val="both"/>
              <w:rPr>
                <w:rFonts w:ascii="Arial" w:hAnsi="Arial" w:cs="Arial"/>
                <w:b/>
                <w:bCs/>
                <w:snapToGrid w:val="0"/>
                <w:sz w:val="20"/>
                <w:szCs w:val="20"/>
                <w:lang w:eastAsia="en-US"/>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p>
          <w:p w:rsidR="0046461F" w:rsidRPr="00666ADE" w:rsidRDefault="0046461F" w:rsidP="00E33931">
            <w:pPr>
              <w:widowControl w:val="0"/>
              <w:spacing w:line="276" w:lineRule="auto"/>
              <w:jc w:val="both"/>
              <w:rPr>
                <w:rFonts w:ascii="Arial" w:hAnsi="Arial" w:cs="Arial"/>
                <w:b/>
                <w:bCs/>
                <w:snapToGrid w:val="0"/>
                <w:sz w:val="20"/>
                <w:szCs w:val="20"/>
                <w:lang w:eastAsia="en-US"/>
              </w:rPr>
            </w:pPr>
            <w:r w:rsidRPr="004622DC">
              <w:rPr>
                <w:rFonts w:ascii="Arial" w:hAnsi="Arial" w:cs="Arial"/>
                <w:sz w:val="20"/>
                <w:szCs w:val="20"/>
                <w:lang w:eastAsia="en-US"/>
              </w:rPr>
              <w:t>_______________________/</w:t>
            </w:r>
            <w:r>
              <w:rPr>
                <w:rFonts w:ascii="Arial" w:hAnsi="Arial" w:cs="Arial"/>
                <w:sz w:val="20"/>
                <w:szCs w:val="20"/>
                <w:lang w:val="en-US" w:eastAsia="en-US"/>
              </w:rPr>
              <w:t xml:space="preserve">                          </w:t>
            </w:r>
            <w:r w:rsidRPr="004622DC">
              <w:rPr>
                <w:rFonts w:ascii="Arial" w:hAnsi="Arial" w:cs="Arial"/>
                <w:sz w:val="20"/>
                <w:szCs w:val="20"/>
                <w:lang w:eastAsia="en-US"/>
              </w:rPr>
              <w:t>/</w:t>
            </w:r>
          </w:p>
          <w:p w:rsidR="0046461F" w:rsidRPr="00666ADE" w:rsidRDefault="0046461F" w:rsidP="00E33931">
            <w:pPr>
              <w:widowControl w:val="0"/>
              <w:spacing w:line="276" w:lineRule="auto"/>
              <w:jc w:val="both"/>
              <w:rPr>
                <w:rFonts w:ascii="Arial" w:hAnsi="Arial" w:cs="Arial"/>
                <w:b/>
                <w:bCs/>
                <w:snapToGrid w:val="0"/>
                <w:sz w:val="20"/>
                <w:szCs w:val="20"/>
                <w:lang w:eastAsia="en-US"/>
              </w:rPr>
            </w:pPr>
          </w:p>
          <w:p w:rsidR="0046461F" w:rsidRPr="00666ADE" w:rsidRDefault="0046461F" w:rsidP="00E33931">
            <w:pPr>
              <w:widowControl w:val="0"/>
              <w:spacing w:line="276" w:lineRule="auto"/>
              <w:jc w:val="both"/>
              <w:rPr>
                <w:rFonts w:ascii="Arial" w:hAnsi="Arial" w:cs="Arial"/>
                <w:sz w:val="20"/>
                <w:szCs w:val="20"/>
                <w:lang w:eastAsia="en-US"/>
              </w:rPr>
            </w:pPr>
          </w:p>
          <w:p w:rsidR="0046461F" w:rsidRPr="00666ADE" w:rsidRDefault="0046461F" w:rsidP="00E33931">
            <w:pPr>
              <w:widowControl w:val="0"/>
              <w:spacing w:line="276" w:lineRule="auto"/>
              <w:jc w:val="both"/>
              <w:rPr>
                <w:rFonts w:ascii="Arial" w:hAnsi="Arial" w:cs="Arial"/>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tc>
        <w:tc>
          <w:tcPr>
            <w:tcW w:w="284" w:type="dxa"/>
          </w:tcPr>
          <w:p w:rsidR="0046461F" w:rsidRPr="00666ADE" w:rsidRDefault="0046461F" w:rsidP="00E33931">
            <w:pPr>
              <w:widowControl w:val="0"/>
              <w:spacing w:line="276" w:lineRule="auto"/>
              <w:rPr>
                <w:rFonts w:ascii="Arial" w:hAnsi="Arial" w:cs="Arial"/>
                <w:b/>
                <w:bCs/>
                <w:snapToGrid w:val="0"/>
                <w:sz w:val="20"/>
                <w:szCs w:val="20"/>
                <w:lang w:eastAsia="en-US"/>
              </w:rPr>
            </w:pPr>
          </w:p>
        </w:tc>
        <w:tc>
          <w:tcPr>
            <w:tcW w:w="5368" w:type="dxa"/>
          </w:tcPr>
          <w:p w:rsidR="0046461F" w:rsidRPr="00666ADE" w:rsidRDefault="0046461F" w:rsidP="00E33931">
            <w:pPr>
              <w:widowControl w:val="0"/>
              <w:spacing w:line="276" w:lineRule="auto"/>
              <w:rPr>
                <w:rFonts w:ascii="Arial" w:hAnsi="Arial" w:cs="Arial"/>
                <w:snapToGrid w:val="0"/>
                <w:sz w:val="20"/>
                <w:szCs w:val="20"/>
                <w:lang w:eastAsia="en-US"/>
              </w:rPr>
            </w:pPr>
          </w:p>
          <w:p w:rsidR="0046461F" w:rsidRPr="004622DC" w:rsidRDefault="0046461F" w:rsidP="00E33931">
            <w:pPr>
              <w:widowControl w:val="0"/>
              <w:spacing w:line="276" w:lineRule="auto"/>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Место нахождения: </w:t>
            </w:r>
            <w:r w:rsidRPr="00666ADE">
              <w:rPr>
                <w:rFonts w:ascii="Arial" w:hAnsi="Arial" w:cs="Arial"/>
                <w:snapToGrid w:val="0"/>
                <w:sz w:val="20"/>
                <w:szCs w:val="20"/>
                <w:lang w:eastAsia="en-US"/>
              </w:rPr>
              <w:t>_________</w:t>
            </w:r>
            <w:r w:rsidRPr="004622DC">
              <w:rPr>
                <w:rFonts w:ascii="Arial" w:hAnsi="Arial" w:cs="Arial"/>
                <w:b/>
                <w:bCs/>
                <w:snapToGrid w:val="0"/>
                <w:sz w:val="20"/>
                <w:szCs w:val="20"/>
                <w:lang w:eastAsia="en-US"/>
              </w:rPr>
              <w:t>__</w:t>
            </w:r>
          </w:p>
          <w:p w:rsidR="0046461F" w:rsidRPr="00666ADE" w:rsidRDefault="0046461F" w:rsidP="00E33931">
            <w:pPr>
              <w:widowControl w:val="0"/>
              <w:spacing w:line="276" w:lineRule="auto"/>
              <w:rPr>
                <w:rFonts w:ascii="Arial" w:hAnsi="Arial" w:cs="Arial"/>
                <w:snapToGrid w:val="0"/>
                <w:sz w:val="20"/>
                <w:szCs w:val="20"/>
                <w:lang w:eastAsia="en-US"/>
              </w:rPr>
            </w:pPr>
            <w:r w:rsidRPr="00666ADE">
              <w:rPr>
                <w:rFonts w:ascii="Arial" w:hAnsi="Arial" w:cs="Arial"/>
                <w:b/>
                <w:bCs/>
                <w:snapToGrid w:val="0"/>
                <w:sz w:val="20"/>
                <w:szCs w:val="20"/>
                <w:lang w:eastAsia="en-US"/>
              </w:rPr>
              <w:t>Почтовый адрес:</w:t>
            </w:r>
            <w:r w:rsidRPr="00666ADE">
              <w:rPr>
                <w:rFonts w:ascii="Arial" w:hAnsi="Arial" w:cs="Arial"/>
                <w:snapToGrid w:val="0"/>
                <w:sz w:val="20"/>
                <w:szCs w:val="20"/>
                <w:lang w:eastAsia="en-US"/>
              </w:rPr>
              <w:t xml:space="preserve"> _____________</w:t>
            </w:r>
          </w:p>
          <w:p w:rsidR="0046461F" w:rsidRPr="00666ADE" w:rsidRDefault="0046461F" w:rsidP="00E33931">
            <w:pPr>
              <w:widowControl w:val="0"/>
              <w:spacing w:line="276" w:lineRule="auto"/>
              <w:rPr>
                <w:rFonts w:ascii="Arial" w:hAnsi="Arial" w:cs="Arial"/>
                <w:b/>
                <w:bCs/>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r w:rsidRPr="00666ADE">
              <w:rPr>
                <w:rFonts w:ascii="Arial" w:hAnsi="Arial" w:cs="Arial"/>
                <w:b/>
                <w:bCs/>
                <w:snapToGrid w:val="0"/>
                <w:sz w:val="20"/>
                <w:szCs w:val="20"/>
                <w:lang w:eastAsia="en-US"/>
              </w:rPr>
              <w:t>Тел</w:t>
            </w:r>
            <w:r w:rsidRPr="00666ADE">
              <w:rPr>
                <w:rFonts w:ascii="Arial" w:hAnsi="Arial" w:cs="Arial"/>
                <w:snapToGrid w:val="0"/>
                <w:sz w:val="20"/>
                <w:szCs w:val="20"/>
                <w:lang w:eastAsia="en-US"/>
              </w:rPr>
              <w:t xml:space="preserve">.__________; </w:t>
            </w:r>
            <w:r w:rsidRPr="00666ADE">
              <w:rPr>
                <w:rFonts w:ascii="Arial" w:hAnsi="Arial" w:cs="Arial"/>
                <w:b/>
                <w:bCs/>
                <w:snapToGrid w:val="0"/>
                <w:sz w:val="20"/>
                <w:szCs w:val="20"/>
                <w:lang w:eastAsia="en-US"/>
              </w:rPr>
              <w:t>факс</w:t>
            </w:r>
            <w:r w:rsidRPr="00666ADE">
              <w:rPr>
                <w:rFonts w:ascii="Arial" w:hAnsi="Arial" w:cs="Arial"/>
                <w:snapToGrid w:val="0"/>
                <w:sz w:val="20"/>
                <w:szCs w:val="20"/>
                <w:lang w:eastAsia="en-US"/>
              </w:rPr>
              <w:t xml:space="preserve">.___________ </w:t>
            </w:r>
          </w:p>
          <w:p w:rsidR="0046461F" w:rsidRPr="004423B7" w:rsidRDefault="0046461F" w:rsidP="00E33931">
            <w:pPr>
              <w:pStyle w:val="Heading5"/>
              <w:spacing w:line="276" w:lineRule="auto"/>
              <w:rPr>
                <w:rFonts w:ascii="Arial" w:hAnsi="Arial" w:cs="Times New Roman"/>
                <w:sz w:val="20"/>
                <w:szCs w:val="20"/>
                <w:lang w:eastAsia="en-US"/>
              </w:rPr>
            </w:pPr>
          </w:p>
          <w:p w:rsidR="0046461F" w:rsidRDefault="0046461F" w:rsidP="00E33931">
            <w:pPr>
              <w:pStyle w:val="BodyText"/>
              <w:spacing w:line="276" w:lineRule="auto"/>
              <w:rPr>
                <w:rFonts w:ascii="Arial" w:hAnsi="Arial" w:cs="Arial"/>
                <w:b/>
                <w:bCs/>
                <w:sz w:val="20"/>
                <w:szCs w:val="20"/>
                <w:lang w:eastAsia="en-US"/>
              </w:rPr>
            </w:pPr>
            <w:r w:rsidRPr="00666ADE">
              <w:rPr>
                <w:rFonts w:ascii="Arial" w:hAnsi="Arial" w:cs="Arial"/>
                <w:b/>
                <w:bCs/>
                <w:sz w:val="20"/>
                <w:szCs w:val="20"/>
                <w:lang w:eastAsia="en-US"/>
              </w:rPr>
              <w:t xml:space="preserve">Банковские реквизиты: </w:t>
            </w:r>
          </w:p>
          <w:p w:rsidR="0046461F" w:rsidRDefault="0046461F" w:rsidP="00E33931">
            <w:pPr>
              <w:pStyle w:val="BodyText"/>
              <w:spacing w:line="276" w:lineRule="auto"/>
              <w:rPr>
                <w:rFonts w:ascii="Arial" w:hAnsi="Arial" w:cs="Arial"/>
                <w:b/>
                <w:bCs/>
                <w:sz w:val="20"/>
                <w:szCs w:val="20"/>
                <w:lang w:eastAsia="en-US"/>
              </w:rPr>
            </w:pPr>
          </w:p>
          <w:p w:rsidR="0046461F" w:rsidRPr="004622DC" w:rsidRDefault="0046461F" w:rsidP="00E33931">
            <w:pPr>
              <w:pStyle w:val="BodyText"/>
              <w:spacing w:line="276" w:lineRule="auto"/>
              <w:rPr>
                <w:rFonts w:ascii="Arial" w:hAnsi="Arial" w:cs="Arial"/>
                <w:b/>
                <w:bCs/>
                <w:sz w:val="20"/>
                <w:szCs w:val="20"/>
                <w:lang w:val="en-US" w:eastAsia="en-US"/>
              </w:rPr>
            </w:pPr>
            <w:r>
              <w:rPr>
                <w:rFonts w:ascii="Arial" w:hAnsi="Arial" w:cs="Arial"/>
                <w:b/>
                <w:bCs/>
                <w:sz w:val="20"/>
                <w:szCs w:val="20"/>
                <w:lang w:eastAsia="en-US"/>
              </w:rPr>
              <w:t>________________________</w:t>
            </w:r>
            <w:r>
              <w:rPr>
                <w:rFonts w:ascii="Arial" w:hAnsi="Arial" w:cs="Arial"/>
                <w:b/>
                <w:bCs/>
                <w:sz w:val="20"/>
                <w:szCs w:val="20"/>
                <w:lang w:val="en-US" w:eastAsia="en-US"/>
              </w:rPr>
              <w:t>/                     /</w:t>
            </w: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val="en-US" w:eastAsia="en-US"/>
              </w:rPr>
            </w:pPr>
          </w:p>
        </w:tc>
      </w:tr>
    </w:tbl>
    <w:p w:rsidR="0046461F" w:rsidRPr="00666ADE" w:rsidRDefault="0046461F" w:rsidP="0007761B">
      <w:pPr>
        <w:rPr>
          <w:rFonts w:ascii="Arial" w:hAnsi="Arial" w:cs="Arial"/>
          <w:sz w:val="20"/>
          <w:szCs w:val="20"/>
        </w:rPr>
      </w:pPr>
    </w:p>
    <w:sectPr w:rsidR="0046461F" w:rsidRPr="00666ADE" w:rsidSect="0007761B">
      <w:footerReference w:type="default" r:id="rId9"/>
      <w:pgSz w:w="11906" w:h="16838"/>
      <w:pgMar w:top="851" w:right="566"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1F" w:rsidRDefault="0046461F" w:rsidP="000E4E9B">
      <w:r>
        <w:separator/>
      </w:r>
    </w:p>
  </w:endnote>
  <w:endnote w:type="continuationSeparator" w:id="0">
    <w:p w:rsidR="0046461F" w:rsidRDefault="0046461F" w:rsidP="000E4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F" w:rsidRPr="0088563D" w:rsidRDefault="0046461F">
    <w:pPr>
      <w:pStyle w:val="Footer"/>
      <w:jc w:val="right"/>
      <w:rPr>
        <w:sz w:val="20"/>
        <w:szCs w:val="20"/>
      </w:rPr>
    </w:pPr>
    <w:r w:rsidRPr="0088563D">
      <w:rPr>
        <w:sz w:val="20"/>
        <w:szCs w:val="20"/>
      </w:rPr>
      <w:fldChar w:fldCharType="begin"/>
    </w:r>
    <w:r w:rsidRPr="0088563D">
      <w:rPr>
        <w:sz w:val="20"/>
        <w:szCs w:val="20"/>
      </w:rPr>
      <w:instrText>PAGE   \* MERGEFORMAT</w:instrText>
    </w:r>
    <w:r w:rsidRPr="0088563D">
      <w:rPr>
        <w:sz w:val="20"/>
        <w:szCs w:val="20"/>
      </w:rPr>
      <w:fldChar w:fldCharType="separate"/>
    </w:r>
    <w:r>
      <w:rPr>
        <w:noProof/>
        <w:sz w:val="20"/>
        <w:szCs w:val="20"/>
      </w:rPr>
      <w:t>6</w:t>
    </w:r>
    <w:r w:rsidRPr="0088563D">
      <w:rPr>
        <w:sz w:val="20"/>
        <w:szCs w:val="20"/>
      </w:rPr>
      <w:fldChar w:fldCharType="end"/>
    </w:r>
  </w:p>
  <w:p w:rsidR="0046461F" w:rsidRDefault="00464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1F" w:rsidRDefault="0046461F" w:rsidP="000E4E9B">
      <w:r>
        <w:separator/>
      </w:r>
    </w:p>
  </w:footnote>
  <w:footnote w:type="continuationSeparator" w:id="0">
    <w:p w:rsidR="0046461F" w:rsidRDefault="0046461F" w:rsidP="000E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230A"/>
    <w:multiLevelType w:val="hybridMultilevel"/>
    <w:tmpl w:val="C144D442"/>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
    <w:nsid w:val="2B0222EB"/>
    <w:multiLevelType w:val="hybridMultilevel"/>
    <w:tmpl w:val="B8AC52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39536D27"/>
    <w:multiLevelType w:val="hybridMultilevel"/>
    <w:tmpl w:val="8BEA11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4C6D411D"/>
    <w:multiLevelType w:val="hybridMultilevel"/>
    <w:tmpl w:val="654446D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61B"/>
    <w:rsid w:val="000052E8"/>
    <w:rsid w:val="00054419"/>
    <w:rsid w:val="00065EEB"/>
    <w:rsid w:val="0007761B"/>
    <w:rsid w:val="000E4E9B"/>
    <w:rsid w:val="001B34D1"/>
    <w:rsid w:val="00211209"/>
    <w:rsid w:val="00226CD3"/>
    <w:rsid w:val="002462E6"/>
    <w:rsid w:val="00264F47"/>
    <w:rsid w:val="0028612E"/>
    <w:rsid w:val="00291443"/>
    <w:rsid w:val="00296C15"/>
    <w:rsid w:val="00301570"/>
    <w:rsid w:val="00312B7D"/>
    <w:rsid w:val="00341AD4"/>
    <w:rsid w:val="003C1CFB"/>
    <w:rsid w:val="00430391"/>
    <w:rsid w:val="004332D5"/>
    <w:rsid w:val="00436A6F"/>
    <w:rsid w:val="004423B7"/>
    <w:rsid w:val="004622DC"/>
    <w:rsid w:val="0046461F"/>
    <w:rsid w:val="004A0E07"/>
    <w:rsid w:val="004B3FED"/>
    <w:rsid w:val="004B6360"/>
    <w:rsid w:val="005A44B3"/>
    <w:rsid w:val="005E1C0E"/>
    <w:rsid w:val="006304AA"/>
    <w:rsid w:val="00636A1B"/>
    <w:rsid w:val="00642542"/>
    <w:rsid w:val="00666ADE"/>
    <w:rsid w:val="006E2133"/>
    <w:rsid w:val="0070098C"/>
    <w:rsid w:val="00701459"/>
    <w:rsid w:val="00711865"/>
    <w:rsid w:val="007D0771"/>
    <w:rsid w:val="008042CA"/>
    <w:rsid w:val="0082588F"/>
    <w:rsid w:val="00827AC3"/>
    <w:rsid w:val="00833BEE"/>
    <w:rsid w:val="0088563D"/>
    <w:rsid w:val="0088731E"/>
    <w:rsid w:val="008B3925"/>
    <w:rsid w:val="008E2F99"/>
    <w:rsid w:val="00915470"/>
    <w:rsid w:val="00945066"/>
    <w:rsid w:val="009A4031"/>
    <w:rsid w:val="009B3355"/>
    <w:rsid w:val="009E44F5"/>
    <w:rsid w:val="009F0868"/>
    <w:rsid w:val="00A225D8"/>
    <w:rsid w:val="00A34A81"/>
    <w:rsid w:val="00A3597D"/>
    <w:rsid w:val="00A54679"/>
    <w:rsid w:val="00A67BA1"/>
    <w:rsid w:val="00AC2C61"/>
    <w:rsid w:val="00B72C4F"/>
    <w:rsid w:val="00B75C7C"/>
    <w:rsid w:val="00C60A9D"/>
    <w:rsid w:val="00C635BA"/>
    <w:rsid w:val="00C81C77"/>
    <w:rsid w:val="00D14033"/>
    <w:rsid w:val="00D875F5"/>
    <w:rsid w:val="00DB35CA"/>
    <w:rsid w:val="00DC4262"/>
    <w:rsid w:val="00DD5A55"/>
    <w:rsid w:val="00E33931"/>
    <w:rsid w:val="00E41AA7"/>
    <w:rsid w:val="00F653AA"/>
    <w:rsid w:val="00F72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1B"/>
    <w:rPr>
      <w:rFonts w:ascii="Times New Roman" w:eastAsia="Times New Roman" w:hAnsi="Times New Roman"/>
      <w:sz w:val="24"/>
      <w:szCs w:val="24"/>
    </w:rPr>
  </w:style>
  <w:style w:type="paragraph" w:styleId="Heading4">
    <w:name w:val="heading 4"/>
    <w:basedOn w:val="Normal"/>
    <w:next w:val="Normal"/>
    <w:link w:val="Heading4Char"/>
    <w:uiPriority w:val="99"/>
    <w:qFormat/>
    <w:rsid w:val="0007761B"/>
    <w:pPr>
      <w:keepNext/>
      <w:jc w:val="right"/>
      <w:outlineLvl w:val="3"/>
    </w:pPr>
    <w:rPr>
      <w:b/>
      <w:bCs/>
      <w:i/>
      <w:iCs/>
    </w:rPr>
  </w:style>
  <w:style w:type="paragraph" w:styleId="Heading5">
    <w:name w:val="heading 5"/>
    <w:basedOn w:val="Normal"/>
    <w:next w:val="Normal"/>
    <w:link w:val="Heading5Char"/>
    <w:uiPriority w:val="99"/>
    <w:qFormat/>
    <w:rsid w:val="0007761B"/>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7761B"/>
    <w:rPr>
      <w:rFonts w:ascii="Times New Roman" w:hAnsi="Times New Roman" w:cs="Times New Roman"/>
      <w:b/>
      <w:bCs/>
      <w:i/>
      <w:iCs/>
      <w:sz w:val="24"/>
      <w:szCs w:val="24"/>
      <w:lang w:eastAsia="ru-RU"/>
    </w:rPr>
  </w:style>
  <w:style w:type="character" w:customStyle="1" w:styleId="Heading5Char">
    <w:name w:val="Heading 5 Char"/>
    <w:basedOn w:val="DefaultParagraphFont"/>
    <w:link w:val="Heading5"/>
    <w:uiPriority w:val="99"/>
    <w:semiHidden/>
    <w:locked/>
    <w:rsid w:val="0007761B"/>
    <w:rPr>
      <w:rFonts w:ascii="Cambria" w:hAnsi="Cambria" w:cs="Cambria"/>
      <w:color w:val="243F60"/>
      <w:sz w:val="24"/>
      <w:szCs w:val="24"/>
      <w:lang w:eastAsia="ru-RU"/>
    </w:rPr>
  </w:style>
  <w:style w:type="paragraph" w:styleId="Caption">
    <w:name w:val="caption"/>
    <w:basedOn w:val="Normal"/>
    <w:uiPriority w:val="99"/>
    <w:qFormat/>
    <w:rsid w:val="0007761B"/>
    <w:pPr>
      <w:widowControl w:val="0"/>
      <w:ind w:right="-852"/>
      <w:jc w:val="center"/>
    </w:pPr>
    <w:rPr>
      <w:b/>
      <w:bCs/>
    </w:rPr>
  </w:style>
  <w:style w:type="paragraph" w:styleId="BodyTextIndent3">
    <w:name w:val="Body Text Indent 3"/>
    <w:basedOn w:val="Normal"/>
    <w:link w:val="BodyTextIndent3Char"/>
    <w:uiPriority w:val="99"/>
    <w:rsid w:val="0007761B"/>
    <w:pPr>
      <w:spacing w:line="360" w:lineRule="auto"/>
      <w:ind w:firstLine="709"/>
      <w:jc w:val="both"/>
    </w:pPr>
    <w:rPr>
      <w:i/>
      <w:iCs/>
      <w:sz w:val="22"/>
      <w:szCs w:val="22"/>
    </w:rPr>
  </w:style>
  <w:style w:type="character" w:customStyle="1" w:styleId="BodyTextIndent3Char">
    <w:name w:val="Body Text Indent 3 Char"/>
    <w:basedOn w:val="DefaultParagraphFont"/>
    <w:link w:val="BodyTextIndent3"/>
    <w:uiPriority w:val="99"/>
    <w:locked/>
    <w:rsid w:val="0007761B"/>
    <w:rPr>
      <w:rFonts w:ascii="Times New Roman" w:hAnsi="Times New Roman" w:cs="Times New Roman"/>
      <w:i/>
      <w:iCs/>
      <w:sz w:val="24"/>
      <w:szCs w:val="24"/>
      <w:lang w:eastAsia="ru-RU"/>
    </w:rPr>
  </w:style>
  <w:style w:type="paragraph" w:customStyle="1" w:styleId="ConsNormal">
    <w:name w:val="ConsNormal"/>
    <w:uiPriority w:val="99"/>
    <w:rsid w:val="0007761B"/>
    <w:pPr>
      <w:widowControl w:val="0"/>
      <w:autoSpaceDE w:val="0"/>
      <w:autoSpaceDN w:val="0"/>
      <w:adjustRightInd w:val="0"/>
      <w:ind w:firstLine="720"/>
    </w:pPr>
    <w:rPr>
      <w:rFonts w:ascii="Arial" w:eastAsia="Times New Roman" w:hAnsi="Arial" w:cs="Arial"/>
    </w:rPr>
  </w:style>
  <w:style w:type="paragraph" w:styleId="BalloonText">
    <w:name w:val="Balloon Text"/>
    <w:basedOn w:val="Normal"/>
    <w:link w:val="BalloonTextChar"/>
    <w:uiPriority w:val="99"/>
    <w:semiHidden/>
    <w:rsid w:val="00077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61B"/>
    <w:rPr>
      <w:rFonts w:ascii="Tahoma" w:hAnsi="Tahoma" w:cs="Tahoma"/>
      <w:sz w:val="16"/>
      <w:szCs w:val="16"/>
      <w:lang w:eastAsia="ru-RU"/>
    </w:rPr>
  </w:style>
  <w:style w:type="paragraph" w:styleId="BodyText">
    <w:name w:val="Body Text"/>
    <w:basedOn w:val="Normal"/>
    <w:link w:val="BodyTextChar"/>
    <w:uiPriority w:val="99"/>
    <w:semiHidden/>
    <w:rsid w:val="0007761B"/>
    <w:pPr>
      <w:spacing w:after="120"/>
    </w:pPr>
  </w:style>
  <w:style w:type="character" w:customStyle="1" w:styleId="BodyTextChar">
    <w:name w:val="Body Text Char"/>
    <w:basedOn w:val="DefaultParagraphFont"/>
    <w:link w:val="BodyText"/>
    <w:uiPriority w:val="99"/>
    <w:semiHidden/>
    <w:locked/>
    <w:rsid w:val="0007761B"/>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07761B"/>
    <w:pPr>
      <w:spacing w:after="120"/>
      <w:ind w:left="283"/>
    </w:pPr>
  </w:style>
  <w:style w:type="character" w:customStyle="1" w:styleId="BodyTextIndentChar">
    <w:name w:val="Body Text Indent Char"/>
    <w:basedOn w:val="DefaultParagraphFont"/>
    <w:link w:val="BodyTextIndent"/>
    <w:uiPriority w:val="99"/>
    <w:semiHidden/>
    <w:locked/>
    <w:rsid w:val="0007761B"/>
    <w:rPr>
      <w:rFonts w:ascii="Times New Roman" w:hAnsi="Times New Roman" w:cs="Times New Roman"/>
      <w:sz w:val="24"/>
      <w:szCs w:val="24"/>
      <w:lang w:eastAsia="ru-RU"/>
    </w:rPr>
  </w:style>
  <w:style w:type="character" w:styleId="SubtleEmphasis">
    <w:name w:val="Subtle Emphasis"/>
    <w:basedOn w:val="DefaultParagraphFont"/>
    <w:uiPriority w:val="99"/>
    <w:qFormat/>
    <w:rsid w:val="0007761B"/>
    <w:rPr>
      <w:i/>
      <w:iCs/>
      <w:color w:val="808080"/>
    </w:rPr>
  </w:style>
  <w:style w:type="character" w:customStyle="1" w:styleId="SUBST">
    <w:name w:val="__SUBST"/>
    <w:uiPriority w:val="99"/>
    <w:rsid w:val="0007761B"/>
    <w:rPr>
      <w:b/>
      <w:bCs/>
      <w:i/>
      <w:iCs/>
      <w:sz w:val="22"/>
      <w:szCs w:val="22"/>
    </w:rPr>
  </w:style>
  <w:style w:type="paragraph" w:styleId="Header">
    <w:name w:val="header"/>
    <w:basedOn w:val="Normal"/>
    <w:link w:val="HeaderChar"/>
    <w:uiPriority w:val="99"/>
    <w:rsid w:val="000E4E9B"/>
    <w:pPr>
      <w:tabs>
        <w:tab w:val="center" w:pos="4677"/>
        <w:tab w:val="right" w:pos="9355"/>
      </w:tabs>
    </w:pPr>
  </w:style>
  <w:style w:type="character" w:customStyle="1" w:styleId="HeaderChar">
    <w:name w:val="Header Char"/>
    <w:basedOn w:val="DefaultParagraphFont"/>
    <w:link w:val="Header"/>
    <w:uiPriority w:val="99"/>
    <w:locked/>
    <w:rsid w:val="000E4E9B"/>
    <w:rPr>
      <w:rFonts w:ascii="Times New Roman" w:hAnsi="Times New Roman" w:cs="Times New Roman"/>
      <w:sz w:val="24"/>
      <w:szCs w:val="24"/>
      <w:lang w:eastAsia="ru-RU"/>
    </w:rPr>
  </w:style>
  <w:style w:type="paragraph" w:styleId="Footer">
    <w:name w:val="footer"/>
    <w:basedOn w:val="Normal"/>
    <w:link w:val="FooterChar"/>
    <w:uiPriority w:val="99"/>
    <w:rsid w:val="000E4E9B"/>
    <w:pPr>
      <w:tabs>
        <w:tab w:val="center" w:pos="4677"/>
        <w:tab w:val="right" w:pos="9355"/>
      </w:tabs>
    </w:pPr>
  </w:style>
  <w:style w:type="character" w:customStyle="1" w:styleId="FooterChar">
    <w:name w:val="Footer Char"/>
    <w:basedOn w:val="DefaultParagraphFont"/>
    <w:link w:val="Footer"/>
    <w:uiPriority w:val="99"/>
    <w:locked/>
    <w:rsid w:val="000E4E9B"/>
    <w:rPr>
      <w:rFonts w:ascii="Times New Roman" w:hAnsi="Times New Roman" w:cs="Times New Roman"/>
      <w:sz w:val="24"/>
      <w:szCs w:val="24"/>
      <w:lang w:eastAsia="ru-RU"/>
    </w:rPr>
  </w:style>
  <w:style w:type="paragraph" w:styleId="ListParagraph">
    <w:name w:val="List Paragraph"/>
    <w:basedOn w:val="Normal"/>
    <w:uiPriority w:val="99"/>
    <w:qFormat/>
    <w:rsid w:val="00642542"/>
    <w:pPr>
      <w:ind w:left="720"/>
    </w:pPr>
  </w:style>
  <w:style w:type="character" w:styleId="CommentReference">
    <w:name w:val="annotation reference"/>
    <w:basedOn w:val="DefaultParagraphFont"/>
    <w:uiPriority w:val="99"/>
    <w:semiHidden/>
    <w:rsid w:val="00A3597D"/>
    <w:rPr>
      <w:sz w:val="16"/>
      <w:szCs w:val="16"/>
    </w:rPr>
  </w:style>
  <w:style w:type="paragraph" w:styleId="CommentText">
    <w:name w:val="annotation text"/>
    <w:basedOn w:val="Normal"/>
    <w:link w:val="CommentTextChar"/>
    <w:uiPriority w:val="99"/>
    <w:semiHidden/>
    <w:rsid w:val="00A3597D"/>
    <w:rPr>
      <w:sz w:val="20"/>
      <w:szCs w:val="20"/>
    </w:rPr>
  </w:style>
  <w:style w:type="character" w:customStyle="1" w:styleId="CommentTextChar">
    <w:name w:val="Comment Text Char"/>
    <w:basedOn w:val="DefaultParagraphFont"/>
    <w:link w:val="CommentText"/>
    <w:uiPriority w:val="99"/>
    <w:semiHidden/>
    <w:locked/>
    <w:rsid w:val="00A3597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3597D"/>
    <w:rPr>
      <w:b/>
      <w:bCs/>
    </w:rPr>
  </w:style>
  <w:style w:type="character" w:customStyle="1" w:styleId="CommentSubjectChar">
    <w:name w:val="Comment Subject Char"/>
    <w:basedOn w:val="CommentTextChar"/>
    <w:link w:val="CommentSubject"/>
    <w:uiPriority w:val="99"/>
    <w:semiHidden/>
    <w:locked/>
    <w:rsid w:val="00A3597D"/>
    <w:rPr>
      <w:b/>
      <w:bCs/>
    </w:rPr>
  </w:style>
</w:styles>
</file>

<file path=word/webSettings.xml><?xml version="1.0" encoding="utf-8"?>
<w:webSettings xmlns:r="http://schemas.openxmlformats.org/officeDocument/2006/relationships" xmlns:w="http://schemas.openxmlformats.org/wordprocessingml/2006/main">
  <w:divs>
    <w:div w:id="704643297">
      <w:marLeft w:val="0"/>
      <w:marRight w:val="0"/>
      <w:marTop w:val="0"/>
      <w:marBottom w:val="0"/>
      <w:divBdr>
        <w:top w:val="none" w:sz="0" w:space="0" w:color="auto"/>
        <w:left w:val="none" w:sz="0" w:space="0" w:color="auto"/>
        <w:bottom w:val="none" w:sz="0" w:space="0" w:color="auto"/>
        <w:right w:val="none" w:sz="0" w:space="0" w:color="auto"/>
      </w:divBdr>
    </w:div>
    <w:div w:id="704643298">
      <w:marLeft w:val="0"/>
      <w:marRight w:val="0"/>
      <w:marTop w:val="0"/>
      <w:marBottom w:val="0"/>
      <w:divBdr>
        <w:top w:val="none" w:sz="0" w:space="0" w:color="auto"/>
        <w:left w:val="none" w:sz="0" w:space="0" w:color="auto"/>
        <w:bottom w:val="none" w:sz="0" w:space="0" w:color="auto"/>
        <w:right w:val="none" w:sz="0" w:space="0" w:color="auto"/>
      </w:divBdr>
    </w:div>
    <w:div w:id="704643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AF6E31A027E539EE94E35757DEB5573F9138396330CAF15C3C4C65E65FE9B1A3EBDB10D60D7n1S1K" TargetMode="External"/><Relationship Id="rId3" Type="http://schemas.openxmlformats.org/officeDocument/2006/relationships/settings" Target="settings.xml"/><Relationship Id="rId7" Type="http://schemas.openxmlformats.org/officeDocument/2006/relationships/hyperlink" Target="consultantplus://offline/ref=D4A95E3C323B5609125FA9CCA19594688D87AC2255A8C6A93967330CB9630ABE5D1ABA91D6D52DD0mCT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3826</Words>
  <Characters>21809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4</cp:revision>
  <cp:lastPrinted>2015-01-23T15:14:00Z</cp:lastPrinted>
  <dcterms:created xsi:type="dcterms:W3CDTF">2016-02-15T15:59:00Z</dcterms:created>
  <dcterms:modified xsi:type="dcterms:W3CDTF">2018-10-11T13:09:00Z</dcterms:modified>
</cp:coreProperties>
</file>