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89" w:rsidRPr="009A4031" w:rsidRDefault="00E36589" w:rsidP="00CB13F3">
      <w:pPr>
        <w:jc w:val="right"/>
        <w:rPr>
          <w:rFonts w:ascii="Bookman Old Style" w:hAnsi="Bookman Old Style" w:cs="Bookman Old Style"/>
          <w:sz w:val="20"/>
          <w:szCs w:val="20"/>
        </w:rPr>
      </w:pPr>
    </w:p>
    <w:p w:rsidR="00E36589" w:rsidRPr="009A4031" w:rsidRDefault="00E36589" w:rsidP="00CB13F3">
      <w:pPr>
        <w:pStyle w:val="a8"/>
        <w:ind w:right="0"/>
        <w:rPr>
          <w:rFonts w:ascii="Bookman Old Style" w:hAnsi="Bookman Old Style" w:cs="Bookman Old Style"/>
          <w:sz w:val="20"/>
          <w:szCs w:val="20"/>
        </w:rPr>
      </w:pPr>
      <w:r w:rsidRPr="009A4031">
        <w:rPr>
          <w:rFonts w:ascii="Bookman Old Style" w:hAnsi="Bookman Old Style" w:cs="Bookman Old Style"/>
          <w:sz w:val="20"/>
          <w:szCs w:val="20"/>
        </w:rPr>
        <w:t>ДЕПОЗИТАРНЫЙ ДОГОВОР</w:t>
      </w:r>
      <w:r w:rsidR="009D31F4">
        <w:rPr>
          <w:rFonts w:ascii="Bookman Old Style" w:hAnsi="Bookman Old Style" w:cs="Bookman Old Style"/>
          <w:sz w:val="20"/>
          <w:szCs w:val="20"/>
        </w:rPr>
        <w:t xml:space="preserve"> №</w:t>
      </w:r>
    </w:p>
    <w:p w:rsidR="000D0E59" w:rsidRDefault="000D0E59" w:rsidP="00CB13F3">
      <w:pPr>
        <w:widowControl w:val="0"/>
        <w:jc w:val="center"/>
        <w:rPr>
          <w:rFonts w:ascii="Bookman Old Style" w:hAnsi="Bookman Old Style" w:cs="Bookman Old Style"/>
          <w:snapToGrid w:val="0"/>
          <w:sz w:val="20"/>
          <w:szCs w:val="20"/>
        </w:rPr>
      </w:pPr>
      <w:r>
        <w:rPr>
          <w:rFonts w:ascii="Bookman Old Style" w:hAnsi="Bookman Old Style" w:cs="Bookman Old Style"/>
          <w:sz w:val="20"/>
          <w:szCs w:val="20"/>
        </w:rPr>
        <w:t>(ДОГОВОР СЧЕТА ДЕПО)</w:t>
      </w:r>
    </w:p>
    <w:p w:rsidR="004E39D2" w:rsidRDefault="004E39D2" w:rsidP="00CB13F3">
      <w:pPr>
        <w:widowControl w:val="0"/>
        <w:jc w:val="center"/>
        <w:rPr>
          <w:rFonts w:ascii="Bookman Old Style" w:hAnsi="Bookman Old Style" w:cs="Bookman Old Style"/>
          <w:snapToGrid w:val="0"/>
          <w:sz w:val="20"/>
          <w:szCs w:val="20"/>
        </w:rPr>
      </w:pPr>
    </w:p>
    <w:p w:rsidR="00E36589" w:rsidRPr="009A4031" w:rsidRDefault="00E36589" w:rsidP="00CB13F3">
      <w:pPr>
        <w:widowControl w:val="0"/>
        <w:jc w:val="center"/>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г. Москва</w:t>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t xml:space="preserve">     "____"______________ 20 __ г.</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ind w:firstLine="708"/>
        <w:jc w:val="both"/>
        <w:rPr>
          <w:rFonts w:ascii="Bookman Old Style" w:hAnsi="Bookman Old Style" w:cs="Bookman Old Style"/>
          <w:b/>
          <w:bCs/>
          <w:snapToGrid w:val="0"/>
          <w:sz w:val="20"/>
          <w:szCs w:val="20"/>
        </w:rPr>
      </w:pPr>
    </w:p>
    <w:p w:rsidR="00E36589" w:rsidRPr="009A4031" w:rsidRDefault="00E36589" w:rsidP="00CB13F3">
      <w:pPr>
        <w:widowControl w:val="0"/>
        <w:ind w:firstLine="708"/>
        <w:jc w:val="both"/>
        <w:rPr>
          <w:rFonts w:ascii="Bookman Old Style" w:hAnsi="Bookman Old Style" w:cs="Bookman Old Style"/>
          <w:b/>
          <w:bCs/>
          <w:snapToGrid w:val="0"/>
          <w:sz w:val="20"/>
          <w:szCs w:val="20"/>
        </w:rPr>
      </w:pPr>
    </w:p>
    <w:p w:rsidR="00E36589" w:rsidRPr="009A4031" w:rsidRDefault="00E36589" w:rsidP="00D7016C">
      <w:pPr>
        <w:widowControl w:val="0"/>
        <w:ind w:firstLine="708"/>
        <w:jc w:val="both"/>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ООО ИК «Айсберг Финанс»,</w:t>
      </w:r>
      <w:r w:rsidRPr="009A4031">
        <w:rPr>
          <w:rFonts w:ascii="Bookman Old Style" w:hAnsi="Bookman Old Style" w:cs="Bookman Old Style"/>
          <w:snapToGrid w:val="0"/>
          <w:sz w:val="20"/>
          <w:szCs w:val="20"/>
        </w:rPr>
        <w:t xml:space="preserve"> действующее на основании Лицензии</w:t>
      </w:r>
      <w:r w:rsidR="000657DF">
        <w:rPr>
          <w:rFonts w:ascii="Bookman Old Style" w:hAnsi="Bookman Old Style" w:cs="Bookman Old Style"/>
          <w:snapToGrid w:val="0"/>
          <w:sz w:val="20"/>
          <w:szCs w:val="20"/>
        </w:rPr>
        <w:t xml:space="preserve"> Банка России</w:t>
      </w:r>
      <w:r w:rsidRPr="009A4031">
        <w:rPr>
          <w:rFonts w:ascii="Bookman Old Style" w:hAnsi="Bookman Old Style" w:cs="Bookman Old Style"/>
          <w:snapToGrid w:val="0"/>
          <w:sz w:val="20"/>
          <w:szCs w:val="20"/>
        </w:rPr>
        <w:t xml:space="preserve"> на осуществление депозитарной деятельности №</w:t>
      </w:r>
      <w:r w:rsidR="009D31F4">
        <w:rPr>
          <w:rFonts w:ascii="Bookman Old Style" w:hAnsi="Bookman Old Style" w:cs="Bookman Old Style"/>
          <w:snapToGrid w:val="0"/>
          <w:sz w:val="20"/>
          <w:szCs w:val="20"/>
        </w:rPr>
        <w:t xml:space="preserve"> 045-13974-00</w:t>
      </w:r>
      <w:r w:rsidR="00FD5BCC">
        <w:rPr>
          <w:rFonts w:ascii="Bookman Old Style" w:hAnsi="Bookman Old Style" w:cs="Bookman Old Style"/>
          <w:snapToGrid w:val="0"/>
          <w:sz w:val="20"/>
          <w:szCs w:val="20"/>
        </w:rPr>
        <w:t>0</w:t>
      </w:r>
      <w:r w:rsidR="009D31F4">
        <w:rPr>
          <w:rFonts w:ascii="Bookman Old Style" w:hAnsi="Bookman Old Style" w:cs="Bookman Old Style"/>
          <w:snapToGrid w:val="0"/>
          <w:sz w:val="20"/>
          <w:szCs w:val="20"/>
        </w:rPr>
        <w:t>100</w:t>
      </w:r>
      <w:r w:rsidRPr="009A4031">
        <w:rPr>
          <w:rFonts w:ascii="Bookman Old Style" w:hAnsi="Bookman Old Style" w:cs="Bookman Old Style"/>
          <w:snapToGrid w:val="0"/>
          <w:sz w:val="20"/>
          <w:szCs w:val="20"/>
        </w:rPr>
        <w:t xml:space="preserve"> от </w:t>
      </w:r>
      <w:r w:rsidR="009D31F4">
        <w:rPr>
          <w:rFonts w:ascii="Bookman Old Style" w:hAnsi="Bookman Old Style" w:cs="Bookman Old Style"/>
          <w:snapToGrid w:val="0"/>
          <w:sz w:val="20"/>
          <w:szCs w:val="20"/>
        </w:rPr>
        <w:t>28.03.2016</w:t>
      </w:r>
      <w:r w:rsidRPr="009A4031">
        <w:rPr>
          <w:rFonts w:ascii="Bookman Old Style" w:hAnsi="Bookman Old Style" w:cs="Bookman Old Style"/>
          <w:snapToGrid w:val="0"/>
          <w:sz w:val="20"/>
          <w:szCs w:val="20"/>
        </w:rPr>
        <w:t xml:space="preserve">, именуемое в дальнейшем </w:t>
      </w:r>
      <w:r w:rsidRPr="009A4031">
        <w:rPr>
          <w:rFonts w:ascii="Bookman Old Style" w:hAnsi="Bookman Old Style" w:cs="Bookman Old Style"/>
          <w:b/>
          <w:bCs/>
          <w:snapToGrid w:val="0"/>
          <w:sz w:val="20"/>
          <w:szCs w:val="20"/>
        </w:rPr>
        <w:t>"Депозитарий"</w:t>
      </w:r>
      <w:r w:rsidRPr="009A4031">
        <w:rPr>
          <w:rFonts w:ascii="Bookman Old Style" w:hAnsi="Bookman Old Style" w:cs="Bookman Old Style"/>
          <w:snapToGrid w:val="0"/>
          <w:sz w:val="20"/>
          <w:szCs w:val="20"/>
        </w:rPr>
        <w:t>, в лице Генерального директора</w:t>
      </w:r>
      <w:r w:rsidR="009D31F4">
        <w:rPr>
          <w:rFonts w:ascii="Bookman Old Style" w:hAnsi="Bookman Old Style" w:cs="Bookman Old Style"/>
          <w:snapToGrid w:val="0"/>
          <w:sz w:val="20"/>
          <w:szCs w:val="20"/>
        </w:rPr>
        <w:t xml:space="preserve"> _________________</w:t>
      </w:r>
      <w:r w:rsidRPr="009A4031">
        <w:rPr>
          <w:rFonts w:ascii="Bookman Old Style" w:hAnsi="Bookman Old Style" w:cs="Bookman Old Style"/>
          <w:snapToGrid w:val="0"/>
          <w:sz w:val="20"/>
          <w:szCs w:val="20"/>
        </w:rPr>
        <w:t>, действующего на основании Устава, с одной стороны, и ______________, именуем___ в дальнейшем (для юридических лиц – наименование полностью, для физических лиц – фамилия, имя, отчество)</w:t>
      </w:r>
      <w:r w:rsidRPr="009A4031">
        <w:rPr>
          <w:rFonts w:ascii="Bookman Old Style" w:hAnsi="Bookman Old Style" w:cs="Bookman Old Style"/>
          <w:b/>
          <w:bCs/>
          <w:snapToGrid w:val="0"/>
          <w:sz w:val="20"/>
          <w:szCs w:val="20"/>
        </w:rPr>
        <w:t xml:space="preserve"> "Депонент"</w:t>
      </w:r>
      <w:r w:rsidRPr="009A4031">
        <w:rPr>
          <w:rFonts w:ascii="Bookman Old Style" w:hAnsi="Bookman Old Style" w:cs="Bookman Old Style"/>
          <w:snapToGrid w:val="0"/>
          <w:sz w:val="20"/>
          <w:szCs w:val="20"/>
        </w:rPr>
        <w:t>, в лице _________ действующего(-ей) на основании ___________, с другой стороны, совместно именуемые "</w:t>
      </w:r>
      <w:r w:rsidRPr="009A4031">
        <w:rPr>
          <w:rFonts w:ascii="Bookman Old Style" w:hAnsi="Bookman Old Style" w:cs="Bookman Old Style"/>
          <w:b/>
          <w:bCs/>
          <w:snapToGrid w:val="0"/>
          <w:sz w:val="20"/>
          <w:szCs w:val="20"/>
        </w:rPr>
        <w:t>Стороны</w:t>
      </w:r>
      <w:r w:rsidRPr="009A4031">
        <w:rPr>
          <w:rFonts w:ascii="Bookman Old Style" w:hAnsi="Bookman Old Style" w:cs="Bookman Old Style"/>
          <w:snapToGrid w:val="0"/>
          <w:sz w:val="20"/>
          <w:szCs w:val="20"/>
        </w:rPr>
        <w:t>", заключили настоящий Договор о нижеследующем:</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1. ПРЕДМЕТ ДОГОВОРА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1.1. Предметом настоящего Договора является предоставление Депозитарием услуг по хранению сертификатов ценных бумаг и/или учету и переходу принадлежащих Депоненту прав на ценные бумаги (далее – Ценные бумаги) путем открытия и ведения Депозитарием счета депо Депонента, осуществления операций по этому счету. Предметом настоящего Договора является также оказание Депозитарием услуг, содействующих реализации Депонентом прав по Ценным бумагам. При этом Депозитарий оказывает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1.2. Объектом деятельности Депозитария являются </w:t>
      </w:r>
    </w:p>
    <w:p w:rsidR="00E36589" w:rsidRPr="009A4031" w:rsidRDefault="00E36589" w:rsidP="00D01E7E">
      <w:pPr>
        <w:pStyle w:val="ae"/>
        <w:numPr>
          <w:ilvl w:val="0"/>
          <w:numId w:val="6"/>
        </w:numPr>
        <w:autoSpaceDE w:val="0"/>
        <w:autoSpaceDN w:val="0"/>
        <w:adjustRightInd w:val="0"/>
        <w:jc w:val="both"/>
        <w:rPr>
          <w:rFonts w:ascii="Bookman Old Style" w:hAnsi="Bookman Old Style" w:cs="Bookman Old Style"/>
          <w:sz w:val="20"/>
          <w:szCs w:val="20"/>
          <w:lang w:eastAsia="en-US"/>
        </w:rPr>
      </w:pPr>
      <w:r w:rsidRPr="009A4031">
        <w:rPr>
          <w:rFonts w:ascii="Bookman Old Style" w:hAnsi="Bookman Old Style" w:cs="Bookman Old Style"/>
          <w:sz w:val="20"/>
          <w:szCs w:val="20"/>
          <w:lang w:eastAsia="en-US"/>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E36589" w:rsidRPr="009A4031" w:rsidRDefault="00E36589" w:rsidP="00D01E7E">
      <w:pPr>
        <w:pStyle w:val="ae"/>
        <w:numPr>
          <w:ilvl w:val="0"/>
          <w:numId w:val="6"/>
        </w:numPr>
        <w:autoSpaceDE w:val="0"/>
        <w:autoSpaceDN w:val="0"/>
        <w:adjustRightInd w:val="0"/>
        <w:jc w:val="both"/>
        <w:rPr>
          <w:rFonts w:ascii="Bookman Old Style" w:hAnsi="Bookman Old Style" w:cs="Bookman Old Style"/>
          <w:sz w:val="20"/>
          <w:szCs w:val="20"/>
          <w:lang w:eastAsia="en-US"/>
        </w:rPr>
      </w:pPr>
      <w:r w:rsidRPr="009A4031">
        <w:rPr>
          <w:rFonts w:ascii="Bookman Old Style" w:hAnsi="Bookman Old Style" w:cs="Bookman Old Style"/>
          <w:sz w:val="20"/>
          <w:szCs w:val="20"/>
          <w:lang w:eastAsia="en-US"/>
        </w:rPr>
        <w:t>эмиссионные ценные бумаги на предъявителя с обязательным централизованным хранением;</w:t>
      </w:r>
    </w:p>
    <w:p w:rsidR="00E36589" w:rsidRPr="009A4031" w:rsidRDefault="00E36589" w:rsidP="00D01E7E">
      <w:pPr>
        <w:pStyle w:val="ae"/>
        <w:numPr>
          <w:ilvl w:val="0"/>
          <w:numId w:val="6"/>
        </w:numPr>
        <w:autoSpaceDE w:val="0"/>
        <w:autoSpaceDN w:val="0"/>
        <w:adjustRightInd w:val="0"/>
        <w:jc w:val="both"/>
        <w:rPr>
          <w:rFonts w:ascii="Bookman Old Style" w:hAnsi="Bookman Old Style" w:cs="Bookman Old Style"/>
          <w:sz w:val="20"/>
          <w:szCs w:val="20"/>
          <w:lang w:eastAsia="en-US"/>
        </w:rPr>
      </w:pPr>
      <w:r w:rsidRPr="009A4031">
        <w:rPr>
          <w:rFonts w:ascii="Bookman Old Style" w:hAnsi="Bookman Old Style" w:cs="Bookman Old Style"/>
          <w:sz w:val="20"/>
          <w:szCs w:val="20"/>
          <w:lang w:eastAsia="en-US"/>
        </w:rPr>
        <w:t xml:space="preserve">иностранные финансовые инструменты, которые квалифицированы в качестве ценных бумаг в соответствии со </w:t>
      </w:r>
      <w:hyperlink r:id="rId7" w:history="1">
        <w:r w:rsidRPr="009A4031">
          <w:rPr>
            <w:rFonts w:ascii="Bookman Old Style" w:hAnsi="Bookman Old Style" w:cs="Bookman Old Style"/>
            <w:sz w:val="20"/>
            <w:szCs w:val="20"/>
            <w:lang w:eastAsia="en-US"/>
          </w:rPr>
          <w:t>статьей 44</w:t>
        </w:r>
      </w:hyperlink>
      <w:r w:rsidRPr="009A4031">
        <w:rPr>
          <w:rFonts w:ascii="Bookman Old Style" w:hAnsi="Bookman Old Style" w:cs="Bookman Old Style"/>
          <w:sz w:val="20"/>
          <w:szCs w:val="20"/>
          <w:lang w:eastAsia="en-US"/>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1.3. В отношении Ценных бумаг, права на которые учитываются в Депозитарии, Депозитарий выступает в качестве номинального держателя в реестре владельцев именных ценных бумаг или в другом депозитарии или лица, действующего в интересах других лиц в иностранной организации.</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1.4. На Ценные бумаги, учитываемые на счете депо Депонента, не может быть обращено взыскание по обязательствам Депозитария.</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1.5. Порядок оказания Депозитарием услуг по настоящему Договору, включая порядок подачи Депонентом Депозитарию поручений о распоряжении Ценными бумагами, сертификаты которых хранятся и (или) права на которые учитываются в Депозитарии, сроки исполнения поручений, а также 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 установлен </w:t>
      </w:r>
      <w:r w:rsidR="003E7ABD" w:rsidRPr="009A4031">
        <w:rPr>
          <w:rFonts w:ascii="Bookman Old Style" w:hAnsi="Bookman Old Style" w:cs="Bookman Old Style"/>
          <w:i w:val="0"/>
          <w:iCs w:val="0"/>
          <w:sz w:val="20"/>
          <w:szCs w:val="20"/>
        </w:rPr>
        <w:t>Условия</w:t>
      </w:r>
      <w:r w:rsidR="003E7ABD">
        <w:rPr>
          <w:rFonts w:ascii="Bookman Old Style" w:hAnsi="Bookman Old Style" w:cs="Bookman Old Style"/>
          <w:i w:val="0"/>
          <w:iCs w:val="0"/>
          <w:sz w:val="20"/>
          <w:szCs w:val="20"/>
        </w:rPr>
        <w:t>ми</w:t>
      </w:r>
      <w:r w:rsidR="003E7ABD" w:rsidRPr="009A4031">
        <w:rPr>
          <w:rFonts w:ascii="Bookman Old Style" w:hAnsi="Bookman Old Style" w:cs="Bookman Old Style"/>
          <w:i w:val="0"/>
          <w:iCs w:val="0"/>
          <w:sz w:val="20"/>
          <w:szCs w:val="20"/>
        </w:rPr>
        <w:t xml:space="preserve"> осуществления депозитарной деятельности (Клиентским регламентом</w:t>
      </w:r>
      <w:r w:rsidR="003E7ABD">
        <w:rPr>
          <w:rFonts w:ascii="Bookman Old Style" w:hAnsi="Bookman Old Style" w:cs="Bookman Old Style"/>
          <w:i w:val="0"/>
          <w:iCs w:val="0"/>
          <w:sz w:val="20"/>
          <w:szCs w:val="20"/>
        </w:rPr>
        <w:t xml:space="preserve">) </w:t>
      </w:r>
      <w:r w:rsidRPr="003E7ABD">
        <w:rPr>
          <w:rFonts w:ascii="Bookman Old Style" w:hAnsi="Bookman Old Style" w:cs="Bookman Old Style"/>
          <w:i w:val="0"/>
          <w:iCs w:val="0"/>
          <w:sz w:val="20"/>
          <w:szCs w:val="20"/>
        </w:rPr>
        <w:t>ООО ИК «Айсберг Финанс»</w:t>
      </w:r>
      <w:r w:rsidRPr="009A4031">
        <w:rPr>
          <w:rFonts w:ascii="Bookman Old Style" w:hAnsi="Bookman Old Style" w:cs="Bookman Old Style"/>
          <w:i w:val="0"/>
          <w:iCs w:val="0"/>
          <w:sz w:val="20"/>
          <w:szCs w:val="20"/>
        </w:rPr>
        <w:t>, далее - Регламент (Приложение №1 к настоящему Договору), который является неотъемлемой частью настоящего Договора.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 1.6. Депозитарий совмещает депозитарную деятельность с брокерской деятельностью (Лицензия Банка России на осуществление брокерской деятельности № </w:t>
      </w:r>
      <w:r w:rsidR="00834151" w:rsidRPr="003E7ABD">
        <w:rPr>
          <w:rFonts w:ascii="Bookman Old Style" w:hAnsi="Bookman Old Style" w:cs="Bookman Old Style"/>
          <w:i w:val="0"/>
          <w:iCs w:val="0"/>
          <w:snapToGrid w:val="0"/>
          <w:sz w:val="20"/>
          <w:szCs w:val="20"/>
        </w:rPr>
        <w:t>045-13971-100000</w:t>
      </w:r>
      <w:r w:rsidR="00834151">
        <w:rPr>
          <w:rFonts w:ascii="Bookman Old Style" w:hAnsi="Bookman Old Style" w:cs="Bookman Old Style"/>
          <w:i w:val="0"/>
          <w:iCs w:val="0"/>
          <w:snapToGrid w:val="0"/>
          <w:sz w:val="20"/>
          <w:szCs w:val="20"/>
        </w:rPr>
        <w:t xml:space="preserve"> </w:t>
      </w:r>
      <w:r w:rsidRPr="009A4031">
        <w:rPr>
          <w:rFonts w:ascii="Bookman Old Style" w:hAnsi="Bookman Old Style" w:cs="Bookman Old Style"/>
          <w:i w:val="0"/>
          <w:iCs w:val="0"/>
          <w:sz w:val="20"/>
          <w:szCs w:val="20"/>
        </w:rPr>
        <w:t xml:space="preserve">от </w:t>
      </w:r>
      <w:r w:rsidR="00834151">
        <w:rPr>
          <w:rFonts w:ascii="Bookman Old Style" w:hAnsi="Bookman Old Style" w:cs="Bookman Old Style"/>
          <w:i w:val="0"/>
          <w:iCs w:val="0"/>
          <w:sz w:val="20"/>
          <w:szCs w:val="20"/>
        </w:rPr>
        <w:t>28.03.2016 г</w:t>
      </w:r>
      <w:r w:rsidRPr="009A4031">
        <w:rPr>
          <w:rFonts w:ascii="Bookman Old Style" w:hAnsi="Bookman Old Style" w:cs="Bookman Old Style"/>
          <w:i w:val="0"/>
          <w:iCs w:val="0"/>
          <w:sz w:val="20"/>
          <w:szCs w:val="20"/>
        </w:rPr>
        <w:t>.), дилерской деятельностью (Лицензия Банка России на осуществление дилерской деятельности №</w:t>
      </w:r>
      <w:r w:rsidR="00834151">
        <w:rPr>
          <w:rFonts w:ascii="Bookman Old Style" w:hAnsi="Bookman Old Style" w:cs="Bookman Old Style"/>
          <w:i w:val="0"/>
          <w:iCs w:val="0"/>
          <w:sz w:val="20"/>
          <w:szCs w:val="20"/>
        </w:rPr>
        <w:t xml:space="preserve"> </w:t>
      </w:r>
      <w:r w:rsidR="00834151" w:rsidRPr="003E7ABD">
        <w:rPr>
          <w:rFonts w:ascii="Bookman Old Style" w:hAnsi="Bookman Old Style" w:cs="Bookman Old Style"/>
          <w:i w:val="0"/>
          <w:iCs w:val="0"/>
          <w:snapToGrid w:val="0"/>
          <w:sz w:val="20"/>
          <w:szCs w:val="20"/>
        </w:rPr>
        <w:t>045-13972-010000</w:t>
      </w:r>
      <w:r w:rsidRPr="009A4031">
        <w:rPr>
          <w:rFonts w:ascii="Bookman Old Style" w:hAnsi="Bookman Old Style" w:cs="Bookman Old Style"/>
          <w:i w:val="0"/>
          <w:iCs w:val="0"/>
          <w:sz w:val="20"/>
          <w:szCs w:val="20"/>
        </w:rPr>
        <w:t xml:space="preserve"> от </w:t>
      </w:r>
      <w:r w:rsidR="00834151">
        <w:rPr>
          <w:rFonts w:ascii="Bookman Old Style" w:hAnsi="Bookman Old Style" w:cs="Bookman Old Style"/>
          <w:i w:val="0"/>
          <w:iCs w:val="0"/>
          <w:sz w:val="20"/>
          <w:szCs w:val="20"/>
        </w:rPr>
        <w:t>28.03.2016 г.</w:t>
      </w:r>
      <w:r w:rsidRPr="009A4031">
        <w:rPr>
          <w:rFonts w:ascii="Bookman Old Style" w:hAnsi="Bookman Old Style" w:cs="Bookman Old Style"/>
          <w:i w:val="0"/>
          <w:iCs w:val="0"/>
          <w:sz w:val="20"/>
          <w:szCs w:val="20"/>
        </w:rPr>
        <w:t xml:space="preserve">), деятельностью по управлению ценными бумагами (Лицензия Банка России на осуществление деятельности по управлению ценными </w:t>
      </w:r>
      <w:proofErr w:type="gramStart"/>
      <w:r w:rsidRPr="009A4031">
        <w:rPr>
          <w:rFonts w:ascii="Bookman Old Style" w:hAnsi="Bookman Old Style" w:cs="Bookman Old Style"/>
          <w:i w:val="0"/>
          <w:iCs w:val="0"/>
          <w:sz w:val="20"/>
          <w:szCs w:val="20"/>
        </w:rPr>
        <w:t>бумагами  №</w:t>
      </w:r>
      <w:proofErr w:type="gramEnd"/>
      <w:r w:rsidR="00834151">
        <w:rPr>
          <w:rFonts w:ascii="Bookman Old Style" w:hAnsi="Bookman Old Style" w:cs="Bookman Old Style"/>
          <w:i w:val="0"/>
          <w:iCs w:val="0"/>
          <w:sz w:val="20"/>
          <w:szCs w:val="20"/>
        </w:rPr>
        <w:t xml:space="preserve"> </w:t>
      </w:r>
      <w:r w:rsidR="00834151" w:rsidRPr="003E7ABD">
        <w:rPr>
          <w:rFonts w:ascii="Bookman Old Style" w:hAnsi="Bookman Old Style" w:cs="Bookman Old Style"/>
          <w:i w:val="0"/>
          <w:iCs w:val="0"/>
          <w:snapToGrid w:val="0"/>
          <w:sz w:val="20"/>
          <w:szCs w:val="20"/>
        </w:rPr>
        <w:t>045-13973-001000</w:t>
      </w:r>
      <w:r w:rsidRPr="009A4031">
        <w:rPr>
          <w:rFonts w:ascii="Bookman Old Style" w:hAnsi="Bookman Old Style" w:cs="Bookman Old Style"/>
          <w:i w:val="0"/>
          <w:iCs w:val="0"/>
          <w:sz w:val="20"/>
          <w:szCs w:val="20"/>
        </w:rPr>
        <w:t xml:space="preserve"> от </w:t>
      </w:r>
      <w:r w:rsidR="00834151">
        <w:rPr>
          <w:rFonts w:ascii="Bookman Old Style" w:hAnsi="Bookman Old Style" w:cs="Bookman Old Style"/>
          <w:i w:val="0"/>
          <w:iCs w:val="0"/>
          <w:sz w:val="20"/>
          <w:szCs w:val="20"/>
        </w:rPr>
        <w:t>28.03.2016 г.</w:t>
      </w:r>
      <w:r w:rsidRPr="009A4031">
        <w:rPr>
          <w:rFonts w:ascii="Bookman Old Style" w:hAnsi="Bookman Old Style" w:cs="Bookman Old Style"/>
          <w:i w:val="0"/>
          <w:iCs w:val="0"/>
          <w:sz w:val="20"/>
          <w:szCs w:val="20"/>
        </w:rPr>
        <w:t xml:space="preserve">).  </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1.7. Термины, используемые в настоящем Договоре и не определенные в нем, понимаются Сторонами в соответствии с Гражданским кодексом РФ, Федеральным законом от 22.04.1996 г. № 39-ФЗ «О рынке ценных бумаг»,</w:t>
      </w:r>
      <w:r w:rsidR="00D3015F" w:rsidRPr="00D3015F">
        <w:rPr>
          <w:rFonts w:ascii="Arial" w:hAnsi="Arial" w:cs="Arial"/>
          <w:snapToGrid w:val="0"/>
          <w:sz w:val="20"/>
          <w:szCs w:val="20"/>
        </w:rPr>
        <w:t xml:space="preserve"> </w:t>
      </w:r>
      <w:r w:rsidR="00D3015F" w:rsidRPr="003E7ABD">
        <w:rPr>
          <w:rFonts w:ascii="Bookman Old Style" w:hAnsi="Bookman Old Style" w:cs="Bookman Old Style"/>
          <w:snapToGrid w:val="0"/>
          <w:sz w:val="20"/>
          <w:szCs w:val="20"/>
        </w:rPr>
        <w:t>Положением Б</w:t>
      </w:r>
      <w:r w:rsidR="004E39D2">
        <w:rPr>
          <w:rFonts w:ascii="Bookman Old Style" w:hAnsi="Bookman Old Style" w:cs="Bookman Old Style"/>
          <w:snapToGrid w:val="0"/>
          <w:sz w:val="20"/>
          <w:szCs w:val="20"/>
        </w:rPr>
        <w:t>анка</w:t>
      </w:r>
      <w:r w:rsidR="00D3015F" w:rsidRPr="003E7ABD">
        <w:rPr>
          <w:rFonts w:ascii="Bookman Old Style" w:hAnsi="Bookman Old Style" w:cs="Bookman Old Style"/>
          <w:snapToGrid w:val="0"/>
          <w:sz w:val="20"/>
          <w:szCs w:val="20"/>
        </w:rPr>
        <w:t xml:space="preserve"> </w:t>
      </w:r>
      <w:r w:rsidR="004E39D2">
        <w:rPr>
          <w:rFonts w:ascii="Bookman Old Style" w:hAnsi="Bookman Old Style" w:cs="Bookman Old Style"/>
          <w:snapToGrid w:val="0"/>
          <w:sz w:val="20"/>
          <w:szCs w:val="20"/>
        </w:rPr>
        <w:t>России</w:t>
      </w:r>
      <w:r w:rsidR="00D3015F" w:rsidRPr="003E7ABD">
        <w:rPr>
          <w:rFonts w:ascii="Bookman Old Style" w:hAnsi="Bookman Old Style" w:cs="Bookman Old Style"/>
          <w:snapToGrid w:val="0"/>
          <w:sz w:val="20"/>
          <w:szCs w:val="20"/>
        </w:rPr>
        <w:t xml:space="preserve"> от 13.05.2016 № 542-П «О требованиях к осуществлению депозитарной деятельности при формировании записей на основании документов, относящихся к </w:t>
      </w:r>
      <w:r w:rsidR="00D3015F" w:rsidRPr="003E7ABD">
        <w:rPr>
          <w:rFonts w:ascii="Bookman Old Style" w:hAnsi="Bookman Old Style" w:cs="Bookman Old Style"/>
          <w:snapToGrid w:val="0"/>
          <w:sz w:val="20"/>
          <w:szCs w:val="20"/>
        </w:rPr>
        <w:lastRenderedPageBreak/>
        <w:t>ведению депозитарного учета, а также документов, связанных с учетом и переходом прав на ценные бумаги, и при хранении указанных документов»,</w:t>
      </w:r>
      <w:r w:rsidR="00D3015F">
        <w:rPr>
          <w:rFonts w:ascii="Bookman Old Style" w:hAnsi="Bookman Old Style" w:cs="Bookman Old Style"/>
          <w:snapToGrid w:val="0"/>
          <w:sz w:val="20"/>
          <w:szCs w:val="20"/>
        </w:rPr>
        <w:t xml:space="preserve"> </w:t>
      </w:r>
      <w:r w:rsidR="000D0E59">
        <w:rPr>
          <w:rFonts w:ascii="Bookman Old Style" w:hAnsi="Bookman Old Style" w:cs="Bookman Old Style"/>
          <w:snapToGrid w:val="0"/>
          <w:sz w:val="20"/>
          <w:szCs w:val="20"/>
        </w:rPr>
        <w:t xml:space="preserve"> </w:t>
      </w:r>
      <w:r w:rsidRPr="009A4031">
        <w:rPr>
          <w:rFonts w:ascii="Bookman Old Style" w:hAnsi="Bookman Old Style" w:cs="Bookman Old Style"/>
          <w:snapToGrid w:val="0"/>
          <w:sz w:val="20"/>
          <w:szCs w:val="20"/>
        </w:rPr>
        <w:t xml:space="preserve"> </w:t>
      </w:r>
      <w:r w:rsidRPr="00E564EE">
        <w:rPr>
          <w:rFonts w:ascii="Bookman Old Style" w:hAnsi="Bookman Old Style" w:cs="Bookman Old Style"/>
          <w:snapToGrid w:val="0"/>
          <w:sz w:val="20"/>
          <w:szCs w:val="20"/>
        </w:rPr>
        <w:t>Порядком открытия и ведения депозитариями счетов депо и иных счетов, утвержденным</w:t>
      </w:r>
      <w:r>
        <w:rPr>
          <w:rFonts w:ascii="Bookman Old Style" w:hAnsi="Bookman Old Style" w:cs="Bookman Old Style"/>
          <w:snapToGrid w:val="0"/>
          <w:sz w:val="20"/>
          <w:szCs w:val="20"/>
        </w:rPr>
        <w:t xml:space="preserve"> Положением </w:t>
      </w:r>
      <w:r w:rsidR="004E39D2">
        <w:rPr>
          <w:rFonts w:ascii="Bookman Old Style" w:hAnsi="Bookman Old Style" w:cs="Bookman Old Style"/>
          <w:snapToGrid w:val="0"/>
          <w:sz w:val="20"/>
          <w:szCs w:val="20"/>
        </w:rPr>
        <w:t>Банка России</w:t>
      </w:r>
      <w:r w:rsidRPr="00E564EE">
        <w:rPr>
          <w:rFonts w:ascii="Bookman Old Style" w:hAnsi="Bookman Old Style" w:cs="Bookman Old Style"/>
          <w:snapToGrid w:val="0"/>
          <w:sz w:val="20"/>
          <w:szCs w:val="20"/>
        </w:rPr>
        <w:t xml:space="preserve"> от 13.11.2015 № 503-П</w:t>
      </w:r>
      <w:r w:rsidRPr="009A4031">
        <w:rPr>
          <w:rFonts w:ascii="Bookman Old Style" w:hAnsi="Bookman Old Style" w:cs="Bookman Old Style"/>
          <w:snapToGrid w:val="0"/>
          <w:sz w:val="20"/>
          <w:szCs w:val="20"/>
        </w:rPr>
        <w:t>, иными нормативными актами.</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 </w:t>
      </w: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 ПРАВА И ОБЯЗАННОСТИ СТОРОН</w:t>
      </w: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2.1. Депозитарий обязан:</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 Открыть Депоненту отдельный счет депо Депонента для учета прав Депонента на Ценные бумаги. Открытие счета депо Депонента не ставится в зависимость от зачисления на него каких-либо Ценных бумаг в момент открытия.</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2.1.2. Осуществлять хранение сертификатов Ценных бумаг и/или вести учёт прав на Ценные бумаги, а также вести учёт депозитарных операций с Ценными бумагами по счету депо Депонента.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2.1.3. Обеспечить обособленное хранение сертификатов Ценных бумаг и/или учёт прав на Ценные бумаги от ценных бумаг, принадлежащих самому Депозитарию.</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2.1.4. Выполнять поручения Депонента в порядке и в сроки, установленные Регламентом.</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2.1.5. Совершать операции по счету депо Депонента в сроки, установленные Регламентом, на основании заполненных в соответствии с Регламентом поручений Депонента или уполномоченных лиц, включая попечителя счета депо Депонента;</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2.1.6. Выдавать Депоненту отчеты об исполнении операций по счету депо Депонента в порядке, по форме и в сроки, </w:t>
      </w:r>
      <w:r w:rsidRPr="009A4031">
        <w:rPr>
          <w:rFonts w:ascii="Bookman Old Style" w:hAnsi="Bookman Old Style" w:cs="Bookman Old Style"/>
          <w:sz w:val="20"/>
          <w:szCs w:val="20"/>
        </w:rPr>
        <w:t>установленные</w:t>
      </w:r>
      <w:r w:rsidRPr="009A4031">
        <w:rPr>
          <w:rFonts w:ascii="Bookman Old Style" w:hAnsi="Bookman Old Style" w:cs="Bookman Old Style"/>
          <w:snapToGrid w:val="0"/>
          <w:sz w:val="20"/>
          <w:szCs w:val="20"/>
        </w:rPr>
        <w:t xml:space="preserve"> Регламентом.</w:t>
      </w:r>
    </w:p>
    <w:p w:rsidR="00E36589" w:rsidRPr="009A4031" w:rsidRDefault="00E36589" w:rsidP="001A6142">
      <w:pPr>
        <w:autoSpaceDE w:val="0"/>
        <w:autoSpaceDN w:val="0"/>
        <w:adjustRightInd w:val="0"/>
        <w:jc w:val="both"/>
        <w:rPr>
          <w:rFonts w:ascii="Bookman Old Style" w:hAnsi="Bookman Old Style" w:cs="Bookman Old Style"/>
          <w:sz w:val="20"/>
          <w:szCs w:val="20"/>
        </w:rPr>
      </w:pPr>
      <w:r w:rsidRPr="009A4031">
        <w:rPr>
          <w:rFonts w:ascii="Bookman Old Style" w:hAnsi="Bookman Old Style" w:cs="Bookman Old Style"/>
          <w:sz w:val="20"/>
          <w:szCs w:val="20"/>
        </w:rPr>
        <w:t xml:space="preserve">2.1.7. Регистрировать </w:t>
      </w:r>
      <w:proofErr w:type="gramStart"/>
      <w:r w:rsidRPr="009A4031">
        <w:rPr>
          <w:rFonts w:ascii="Bookman Old Style" w:hAnsi="Bookman Old Style" w:cs="Bookman Old Style"/>
          <w:sz w:val="20"/>
          <w:szCs w:val="20"/>
        </w:rPr>
        <w:t xml:space="preserve">факты </w:t>
      </w:r>
      <w:r w:rsidRPr="009A4031">
        <w:rPr>
          <w:rFonts w:ascii="Bookman Old Style" w:hAnsi="Bookman Old Style" w:cs="Bookman Old Style"/>
          <w:sz w:val="20"/>
          <w:szCs w:val="20"/>
          <w:lang w:eastAsia="en-US"/>
        </w:rPr>
        <w:t xml:space="preserve"> ограничения</w:t>
      </w:r>
      <w:proofErr w:type="gramEnd"/>
      <w:r w:rsidRPr="009A4031">
        <w:rPr>
          <w:rFonts w:ascii="Bookman Old Style" w:hAnsi="Bookman Old Style" w:cs="Bookman Old Style"/>
          <w:sz w:val="20"/>
          <w:szCs w:val="20"/>
          <w:lang w:eastAsia="en-US"/>
        </w:rPr>
        <w:t xml:space="preserve">/снятия ограничения операций с </w:t>
      </w:r>
      <w:r w:rsidRPr="009A4031">
        <w:rPr>
          <w:rFonts w:ascii="Bookman Old Style" w:hAnsi="Bookman Old Style" w:cs="Bookman Old Style"/>
          <w:sz w:val="20"/>
          <w:szCs w:val="20"/>
        </w:rPr>
        <w:t>Ценными бумагами в порядке и сроке, установленные Регламентом.</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2.1.8. Учитывать на счете депо Депонента изменения, связанные с дроблением, консолидацией, конвертацией, объединением выпусков Ценных бумаг, аннулированием и погашением зачисленных на счет депо Депонента Ценных бумаг, а также выплатой доходов по Ценным бумагам.</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2.1.9. Содействовать реализации прав владельца по Ценным бумагам, учитываемым на счете депо Депонента:</w:t>
      </w:r>
    </w:p>
    <w:p w:rsidR="00E36589" w:rsidRPr="009A4031" w:rsidRDefault="00E36589" w:rsidP="00CB13F3">
      <w:pPr>
        <w:pStyle w:val="ConsNormal"/>
        <w:ind w:firstLine="0"/>
        <w:jc w:val="both"/>
        <w:rPr>
          <w:rFonts w:ascii="Bookman Old Style" w:hAnsi="Bookman Old Style" w:cs="Bookman Old Style"/>
          <w:sz w:val="20"/>
          <w:szCs w:val="20"/>
        </w:rPr>
      </w:pPr>
      <w:r w:rsidRPr="009A4031">
        <w:rPr>
          <w:rFonts w:ascii="Bookman Old Style" w:hAnsi="Bookman Old Style" w:cs="Bookman Old Style"/>
          <w:sz w:val="20"/>
          <w:szCs w:val="20"/>
        </w:rPr>
        <w:t xml:space="preserve">- получать от эмитента или регистратора, вышестоящего депозитария, иностранной организации, в которой Депозитарию открыт счет лица, действующего в интересах других </w:t>
      </w:r>
      <w:proofErr w:type="gramStart"/>
      <w:r w:rsidRPr="009A4031">
        <w:rPr>
          <w:rFonts w:ascii="Bookman Old Style" w:hAnsi="Bookman Old Style" w:cs="Bookman Old Style"/>
          <w:sz w:val="20"/>
          <w:szCs w:val="20"/>
        </w:rPr>
        <w:t>лиц,  информацию</w:t>
      </w:r>
      <w:proofErr w:type="gramEnd"/>
      <w:r w:rsidRPr="009A4031">
        <w:rPr>
          <w:rFonts w:ascii="Bookman Old Style" w:hAnsi="Bookman Old Style" w:cs="Bookman Old Style"/>
          <w:sz w:val="20"/>
          <w:szCs w:val="20"/>
        </w:rPr>
        <w:t xml:space="preserve"> и документы, касающиеся Ценных бумаг, и передавать их Депоненту;</w:t>
      </w:r>
    </w:p>
    <w:p w:rsidR="00E36589" w:rsidRPr="009A4031" w:rsidRDefault="00E36589" w:rsidP="00CB13F3">
      <w:pPr>
        <w:pStyle w:val="ConsNormal"/>
        <w:ind w:firstLine="0"/>
        <w:jc w:val="both"/>
        <w:rPr>
          <w:rFonts w:ascii="Bookman Old Style" w:hAnsi="Bookman Old Style" w:cs="Bookman Old Style"/>
          <w:sz w:val="20"/>
          <w:szCs w:val="20"/>
        </w:rPr>
      </w:pPr>
      <w:r w:rsidRPr="009A4031">
        <w:rPr>
          <w:rFonts w:ascii="Bookman Old Style" w:hAnsi="Bookman Old Style" w:cs="Bookman Old Style"/>
          <w:sz w:val="20"/>
          <w:szCs w:val="20"/>
        </w:rPr>
        <w:t>- передавать Депоненту поступающие в Депозитарий от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 сообщения о корпоративных действиях эмитента путем размещения информации на WEB-сайте Депозитария, – если иной способ передачи информации не предусмотрен Регламентом;</w:t>
      </w:r>
    </w:p>
    <w:p w:rsidR="00E36589" w:rsidRPr="009A4031" w:rsidRDefault="00E36589" w:rsidP="00CB13F3">
      <w:pPr>
        <w:pStyle w:val="ConsNormal"/>
        <w:ind w:firstLine="0"/>
        <w:jc w:val="both"/>
        <w:rPr>
          <w:rFonts w:ascii="Bookman Old Style" w:hAnsi="Bookman Old Style" w:cs="Bookman Old Style"/>
          <w:sz w:val="20"/>
          <w:szCs w:val="20"/>
        </w:rPr>
      </w:pPr>
      <w:r w:rsidRPr="009A4031">
        <w:rPr>
          <w:rFonts w:ascii="Bookman Old Style" w:hAnsi="Bookman Old Style" w:cs="Bookman Old Style"/>
          <w:sz w:val="20"/>
          <w:szCs w:val="20"/>
        </w:rPr>
        <w:t>- в случаях, установленных действующим законодательством РФ, при составлении списка владельцев ценных бумаг передавать эмитенту, регистратору, вышестоящему депозитарию, иностранной организации, в которой Депозитарию открыт счет лица, действующего в интересах других лиц, все сведения о Депоненте и о Ценных бумагах, необходимые для реализации прав владельцев: получения доходов по Ценным бумагам, участия в общих собраниях акционеров и иных прав – в соответствии с запросом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w:t>
      </w:r>
    </w:p>
    <w:p w:rsidR="00E36589" w:rsidRPr="009A4031" w:rsidRDefault="00E36589" w:rsidP="00CB13F3">
      <w:pPr>
        <w:pStyle w:val="a3"/>
        <w:widowControl w:val="0"/>
        <w:numPr>
          <w:ilvl w:val="0"/>
          <w:numId w:val="1"/>
        </w:numPr>
        <w:tabs>
          <w:tab w:val="clear" w:pos="502"/>
          <w:tab w:val="num" w:pos="142"/>
          <w:tab w:val="left" w:pos="284"/>
        </w:tabs>
        <w:autoSpaceDE w:val="0"/>
        <w:autoSpaceDN w:val="0"/>
        <w:adjustRightInd w:val="0"/>
        <w:spacing w:after="0"/>
        <w:ind w:left="142" w:hanging="142"/>
        <w:jc w:val="both"/>
        <w:rPr>
          <w:rFonts w:ascii="Bookman Old Style" w:hAnsi="Bookman Old Style" w:cs="Bookman Old Style"/>
          <w:sz w:val="20"/>
          <w:szCs w:val="20"/>
        </w:rPr>
      </w:pPr>
      <w:r w:rsidRPr="009A4031">
        <w:rPr>
          <w:rFonts w:ascii="Bookman Old Style" w:hAnsi="Bookman Old Style" w:cs="Bookman Old Style"/>
          <w:sz w:val="20"/>
          <w:szCs w:val="20"/>
        </w:rPr>
        <w:t>принимать все предусмотренные федеральными законами и иными нормативными правовыми актами меры по защите интересов Депонента при осуществлении эмитентом корпоративных действий.</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2.1.10. Обеспечивать необходимые условия для сохранности сертификатов Ценных бумаг и записей о правах на Ценные бумаги, в том числе путем использования систем дублирования информации и безопасной системы хранения записей.</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2.1.11. В случае отказа в приеме и/или отказа в исполнении поручения выдать Депоненту мотивированный отказ в письменном виде.</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2.1.12. В случаях, установленных федеральными законами и иными нормативными актами, Депозитарий обязан исполнять оформленные надлежащим образом письменные поручения должностных лиц государственных органов, в том числе:</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судебных;</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органов дознания и предварительного следствия.</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   2.1.13. С момента получения извещения о прекращении по любым причинам действия лицензии Депонента на право осуществления деятельности по управлению ценными бумагами, в соответствии с п. 2.3.7. настоящего Договора, Депозитарий прекращает исполнение поручений Депонента, за исключением поручений на списание Ценных бумаг.</w:t>
      </w:r>
    </w:p>
    <w:p w:rsidR="00E36589" w:rsidRPr="009A4031" w:rsidRDefault="00E36589" w:rsidP="00CB13F3">
      <w:pPr>
        <w:pStyle w:val="3"/>
        <w:spacing w:line="240" w:lineRule="auto"/>
        <w:ind w:firstLine="0"/>
        <w:rPr>
          <w:rFonts w:ascii="Bookman Old Style" w:hAnsi="Bookman Old Style" w:cs="Bookman Old Style"/>
          <w:i w:val="0"/>
          <w:iCs w:val="0"/>
          <w:color w:val="FF0000"/>
          <w:sz w:val="20"/>
          <w:szCs w:val="20"/>
        </w:rPr>
      </w:pPr>
      <w:r w:rsidRPr="009A4031">
        <w:rPr>
          <w:rFonts w:ascii="Bookman Old Style" w:hAnsi="Bookman Old Style" w:cs="Bookman Old Style"/>
          <w:i w:val="0"/>
          <w:iCs w:val="0"/>
          <w:sz w:val="20"/>
          <w:szCs w:val="20"/>
        </w:rPr>
        <w:t xml:space="preserve">2.1.14. Уведомить Депонента об аннулировании или приостановлении действия своей лицензии на осуществление депозитарной деятельности на рынке ценных бумаг в письменном виде в течение 3 </w:t>
      </w:r>
      <w:r w:rsidRPr="009A4031">
        <w:rPr>
          <w:rFonts w:ascii="Bookman Old Style" w:hAnsi="Bookman Old Style" w:cs="Bookman Old Style"/>
          <w:i w:val="0"/>
          <w:iCs w:val="0"/>
          <w:sz w:val="20"/>
          <w:szCs w:val="20"/>
        </w:rPr>
        <w:lastRenderedPageBreak/>
        <w:t>(трех) рабочих дней с момента получения соответствующего письменного уведомления от Банка России</w:t>
      </w:r>
      <w:r w:rsidRPr="009A4031">
        <w:rPr>
          <w:rFonts w:ascii="Bookman Old Style" w:hAnsi="Bookman Old Style" w:cs="Bookman Old Style"/>
          <w:i w:val="0"/>
          <w:iCs w:val="0"/>
          <w:color w:val="FF0000"/>
          <w:sz w:val="20"/>
          <w:szCs w:val="20"/>
        </w:rPr>
        <w:t>.</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2.1.15. Передавать Депоненту выплаты по ценным бумагам в порядке и сроки, установленные </w:t>
      </w:r>
      <w:hyperlink r:id="rId8" w:history="1">
        <w:r w:rsidRPr="009A4031">
          <w:rPr>
            <w:rFonts w:ascii="Bookman Old Style" w:hAnsi="Bookman Old Style" w:cs="Bookman Old Style"/>
            <w:i w:val="0"/>
            <w:iCs w:val="0"/>
            <w:sz w:val="20"/>
            <w:szCs w:val="20"/>
          </w:rPr>
          <w:t xml:space="preserve">статьей </w:t>
        </w:r>
      </w:hyperlink>
      <w:r w:rsidRPr="009A4031">
        <w:rPr>
          <w:rFonts w:ascii="Bookman Old Style" w:hAnsi="Bookman Old Style" w:cs="Bookman Old Style"/>
          <w:i w:val="0"/>
          <w:iCs w:val="0"/>
          <w:sz w:val="20"/>
          <w:szCs w:val="20"/>
        </w:rPr>
        <w:t>7.1 Федерального закона "О рынке ценных бумаг", а также Регламентом.</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2.2. Депозитарий вправе:</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2.2.1. Для обеспечения исполнения своих обязательств по настоящему Договору без согласования с Депонентом становиться депонентом других депозитариев путем заключения с ними договоров о </w:t>
      </w:r>
      <w:proofErr w:type="spellStart"/>
      <w:r w:rsidRPr="009A4031">
        <w:rPr>
          <w:rFonts w:ascii="Bookman Old Style" w:hAnsi="Bookman Old Style" w:cs="Bookman Old Style"/>
          <w:i w:val="0"/>
          <w:iCs w:val="0"/>
          <w:sz w:val="20"/>
          <w:szCs w:val="20"/>
        </w:rPr>
        <w:t>междепозитарных</w:t>
      </w:r>
      <w:proofErr w:type="spellEnd"/>
      <w:r w:rsidRPr="009A4031">
        <w:rPr>
          <w:rFonts w:ascii="Bookman Old Style" w:hAnsi="Bookman Old Style" w:cs="Bookman Old Style"/>
          <w:i w:val="0"/>
          <w:iCs w:val="0"/>
          <w:sz w:val="20"/>
          <w:szCs w:val="20"/>
        </w:rPr>
        <w:t xml:space="preserve"> отношениях, а также передавать на хранение сертификаты документарных Ценных бумаг, принятые на хранение от Депонента, в другие хранилища.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Указанные действия Депозитария не влекут изменения прав и обязанностей Сторон по настоящему Договору. Депозитарий отвечает за действия вышестоящего депозитария как за свои собственные, за исключением случаев, когда обращение к ним было вызвано прямым указанием Депонента.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2.2.2. Отказывать в принятии и/ или исполнении поручений депо Депонента в случаях, установленных Регламентом.</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2.2.3. Вносить изменения в Регламент в одностороннем порядке, уведомляя об этом Депонента в порядке, установленном в </w:t>
      </w:r>
      <w:proofErr w:type="spellStart"/>
      <w:r w:rsidRPr="009A4031">
        <w:rPr>
          <w:rFonts w:ascii="Bookman Old Style" w:hAnsi="Bookman Old Style" w:cs="Bookman Old Style"/>
          <w:i w:val="0"/>
          <w:iCs w:val="0"/>
          <w:sz w:val="20"/>
          <w:szCs w:val="20"/>
        </w:rPr>
        <w:t>п.п</w:t>
      </w:r>
      <w:proofErr w:type="spellEnd"/>
      <w:r w:rsidRPr="009A4031">
        <w:rPr>
          <w:rFonts w:ascii="Bookman Old Style" w:hAnsi="Bookman Old Style" w:cs="Bookman Old Style"/>
          <w:i w:val="0"/>
          <w:iCs w:val="0"/>
          <w:sz w:val="20"/>
          <w:szCs w:val="20"/>
        </w:rPr>
        <w:t>. 9.3., 9.4. настоящего Договора.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2.2.4. В целях устранения ошибки, допущенной Депозитарием при совершении депозитарной операции, Депозитарий имеет право сделать исправительную запись по счету депо Депонента в соответствии с Регламентом и предоставить последнему отчет об исполнении операции.</w:t>
      </w:r>
    </w:p>
    <w:p w:rsidR="00E36589" w:rsidRPr="009A4031" w:rsidRDefault="00E36589" w:rsidP="00355ED5">
      <w:pPr>
        <w:autoSpaceDE w:val="0"/>
        <w:autoSpaceDN w:val="0"/>
        <w:adjustRightInd w:val="0"/>
        <w:jc w:val="both"/>
        <w:rPr>
          <w:rFonts w:ascii="Bookman Old Style" w:hAnsi="Bookman Old Style" w:cs="Bookman Old Style"/>
          <w:sz w:val="20"/>
          <w:szCs w:val="20"/>
        </w:rPr>
      </w:pPr>
      <w:r w:rsidRPr="009A4031">
        <w:rPr>
          <w:rFonts w:ascii="Bookman Old Style" w:hAnsi="Bookman Old Style" w:cs="Bookman Old Style"/>
          <w:sz w:val="20"/>
          <w:szCs w:val="20"/>
        </w:rPr>
        <w:t xml:space="preserve">2.2.5. Получать на </w:t>
      </w:r>
      <w:r w:rsidRPr="009A4031">
        <w:rPr>
          <w:rFonts w:ascii="Bookman Old Style" w:eastAsia="SimSun" w:hAnsi="Bookman Old Style" w:cs="Bookman Old Style"/>
          <w:sz w:val="20"/>
          <w:szCs w:val="20"/>
          <w:lang w:eastAsia="zh-CN"/>
        </w:rPr>
        <w:t xml:space="preserve">специальный депозитарный счет </w:t>
      </w:r>
      <w:r w:rsidRPr="009A4031">
        <w:rPr>
          <w:rFonts w:ascii="Bookman Old Style" w:hAnsi="Bookman Old Style" w:cs="Bookman Old Style"/>
          <w:sz w:val="20"/>
          <w:szCs w:val="20"/>
        </w:rPr>
        <w:t>денежные средства, являющиеся доходом по Ценным бумагам, для последующего перечисления Депоненту.</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2.2.6. В случаях, предусмотренных действующим законодательством РФ и Регламентом, проводить депозитарные операции по инициативе должностных лиц Депозитария (на основании служебных поручений), а также эмитента или регистратора (на основании глобальных поручений), в порядке и сроки, предусмотренные Регламентом, действующим законодательством Российской Федерации.</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2.2.7. Для исполнения своих обязанностей по настоящему Договору привлекать третьих лиц.</w:t>
      </w:r>
    </w:p>
    <w:p w:rsidR="00E36589" w:rsidRPr="009A4031" w:rsidRDefault="00E36589" w:rsidP="00CB13F3">
      <w:pPr>
        <w:widowControl w:val="0"/>
        <w:jc w:val="both"/>
        <w:rPr>
          <w:rFonts w:ascii="Bookman Old Style" w:hAnsi="Bookman Old Style" w:cs="Bookman Old Style"/>
          <w:snapToGrid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2.3. Депонент обязан:</w:t>
      </w:r>
    </w:p>
    <w:p w:rsidR="00E36589" w:rsidRPr="009A4031" w:rsidRDefault="00E36589" w:rsidP="00CB13F3">
      <w:pPr>
        <w:jc w:val="both"/>
        <w:rPr>
          <w:rFonts w:ascii="Bookman Old Style" w:hAnsi="Bookman Old Style" w:cs="Bookman Old Style"/>
          <w:sz w:val="20"/>
          <w:szCs w:val="20"/>
        </w:rPr>
      </w:pPr>
      <w:r w:rsidRPr="009A4031">
        <w:rPr>
          <w:rFonts w:ascii="Bookman Old Style" w:hAnsi="Bookman Old Style" w:cs="Bookman Old Style"/>
          <w:sz w:val="20"/>
          <w:szCs w:val="20"/>
        </w:rPr>
        <w:t xml:space="preserve">2.3.1. Соблюдать требования действующего законодательства </w:t>
      </w:r>
      <w:r w:rsidRPr="009A4031">
        <w:rPr>
          <w:rFonts w:ascii="Bookman Old Style" w:hAnsi="Bookman Old Style" w:cs="Bookman Old Style"/>
          <w:kern w:val="24"/>
          <w:sz w:val="20"/>
          <w:szCs w:val="20"/>
        </w:rPr>
        <w:t>РФ</w:t>
      </w:r>
      <w:r w:rsidRPr="009A4031">
        <w:rPr>
          <w:rFonts w:ascii="Bookman Old Style" w:hAnsi="Bookman Old Style" w:cs="Bookman Old Style"/>
          <w:sz w:val="20"/>
          <w:szCs w:val="20"/>
        </w:rPr>
        <w:t>, условия настоящего Договора, Регламента.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2.3.2. Оплачивать услуги Депозитария и возмещать расходы Депозитария при оказании депозитарных услуг в порядке, в размере и в сроки, предусмотренные настоящим Договором и Регламентом.</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2.3.3. Предоставлять по требованию Депозитария документы, служащие основанием для проведения депозитарных операций.</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2.3.4. Подавать поручения, служащие основанием </w:t>
      </w:r>
      <w:proofErr w:type="gramStart"/>
      <w:r w:rsidRPr="009A4031">
        <w:rPr>
          <w:rFonts w:ascii="Bookman Old Style" w:hAnsi="Bookman Old Style" w:cs="Bookman Old Style"/>
          <w:i w:val="0"/>
          <w:iCs w:val="0"/>
          <w:sz w:val="20"/>
          <w:szCs w:val="20"/>
        </w:rPr>
        <w:t>для  зачисления</w:t>
      </w:r>
      <w:proofErr w:type="gramEnd"/>
      <w:r w:rsidRPr="009A4031">
        <w:rPr>
          <w:rFonts w:ascii="Bookman Old Style" w:hAnsi="Bookman Old Style" w:cs="Bookman Old Style"/>
          <w:i w:val="0"/>
          <w:iCs w:val="0"/>
          <w:sz w:val="20"/>
          <w:szCs w:val="20"/>
        </w:rPr>
        <w:t xml:space="preserve"> Ценных бумаг на счет депо Депонента только в случаях, если в отношении указанных ценных бумаг Депонент является владельцем, доверительным управляющим либо залогодержателем.</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2.3.5. Указывать достоверные сведения в анкете Депонента. Незамедлительно извещать Депозитарий обо всех изменениях сведений, содержащихся в анкете Депонента, сведений о лицах, уполномоченных распоряжаться счетом депо Депонента, а также иных сведений, имеющих существенное значение для исполнения Депозитарием своих обязанностей по настоящему Договору.</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2.3.6. Незамедлительно извещать Депозитарий о прекращении действия доверенностей на уполномоченных лиц Депонента.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2.3.7. Незамедлительно извещать Депозитарий об аннулировании, приостановлении или окончании срока действия лицензии на право осуществления деятельности по управлению ценными бумагами, выданной Депоненту. В случае наступления любого из данных событий Депонент обязан предоставить в Депозитарий поручения на списание Ценных бумаг со счета депо Депонента.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p>
    <w:p w:rsidR="00E36589" w:rsidRPr="009A4031" w:rsidRDefault="00E36589" w:rsidP="00CB13F3">
      <w:pPr>
        <w:pStyle w:val="3"/>
        <w:spacing w:line="240" w:lineRule="auto"/>
        <w:ind w:firstLine="0"/>
        <w:rPr>
          <w:rFonts w:ascii="Bookman Old Style" w:hAnsi="Bookman Old Style" w:cs="Bookman Old Style"/>
          <w:b/>
          <w:bCs/>
          <w:i w:val="0"/>
          <w:iCs w:val="0"/>
          <w:sz w:val="20"/>
          <w:szCs w:val="20"/>
        </w:rPr>
      </w:pPr>
    </w:p>
    <w:p w:rsidR="00E36589" w:rsidRPr="009A4031" w:rsidRDefault="00E36589" w:rsidP="00CB13F3">
      <w:pPr>
        <w:pStyle w:val="3"/>
        <w:spacing w:line="240" w:lineRule="auto"/>
        <w:ind w:firstLine="0"/>
        <w:rPr>
          <w:rFonts w:ascii="Bookman Old Style" w:hAnsi="Bookman Old Style" w:cs="Bookman Old Style"/>
          <w:b/>
          <w:bCs/>
          <w:i w:val="0"/>
          <w:iCs w:val="0"/>
          <w:sz w:val="20"/>
          <w:szCs w:val="20"/>
        </w:rPr>
      </w:pPr>
      <w:r w:rsidRPr="009A4031">
        <w:rPr>
          <w:rFonts w:ascii="Bookman Old Style" w:hAnsi="Bookman Old Style" w:cs="Bookman Old Style"/>
          <w:b/>
          <w:bCs/>
          <w:i w:val="0"/>
          <w:iCs w:val="0"/>
          <w:sz w:val="20"/>
          <w:szCs w:val="20"/>
        </w:rPr>
        <w:t>2.4. Депонент вправе:</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2.4.1. Подавать Депозитарию поручения в порядке и форме, установленные Регламентом. Определение в поручении места хранения Ценных бумаг считается прямым указанием Депонента Депозитарию о выборе места хранения.</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2.4.2. Назначить оператора, распорядителя, попечителя счета депо Депонента. Попечителем счета депо Депонента может быть назначено только лицо, имеющее лицензию профессионального участника рынка ценных бумаг. У счета депо Депонента не может быть более одного попечителя счета депо.</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При назначении попечителя счета депо Депонента:</w:t>
      </w:r>
    </w:p>
    <w:p w:rsidR="00E36589" w:rsidRPr="009A4031" w:rsidRDefault="00E36589" w:rsidP="00CB13F3">
      <w:pPr>
        <w:pStyle w:val="3"/>
        <w:numPr>
          <w:ilvl w:val="0"/>
          <w:numId w:val="2"/>
        </w:numPr>
        <w:tabs>
          <w:tab w:val="num" w:pos="720"/>
        </w:tabs>
        <w:spacing w:line="240" w:lineRule="auto"/>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Депонент не вправе самостоятельно подавать Депозитарию поручения, за исключением случаев, предусмотренных Регламентом;</w:t>
      </w:r>
    </w:p>
    <w:p w:rsidR="00E36589" w:rsidRPr="009A4031" w:rsidRDefault="00E36589" w:rsidP="00CB13F3">
      <w:pPr>
        <w:pStyle w:val="3"/>
        <w:numPr>
          <w:ilvl w:val="0"/>
          <w:numId w:val="2"/>
        </w:numPr>
        <w:tabs>
          <w:tab w:val="num" w:pos="720"/>
        </w:tabs>
        <w:spacing w:line="240" w:lineRule="auto"/>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lastRenderedPageBreak/>
        <w:t>Отчеты об исполнении операций по счету депо Депонента, предусмотренные Регламентом, Депозитарий выдает попечителю счета депо Депонента, если иное не установлено Регламентом.</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b/>
          <w:bCs/>
          <w:i w:val="0"/>
          <w:iCs w:val="0"/>
          <w:sz w:val="20"/>
          <w:szCs w:val="20"/>
        </w:rPr>
        <w:t>3. ПОРЯДОК РАСЧЕТОВ</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3.1. Оплата услуг и возмещение расходов Депозитария осуществляется Депонентом на основании выставляемых Депозитарием счетов.</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3.2. Счета за услуги Депозитария выставляются на основании Тарифов Депозитария, содержащихся в Регламенте, ежемесячно в течение 10 (десяти) рабочих дней, следующих за окончанием оплачиваемого месяца. Тарифы Депозитария утверждаются </w:t>
      </w:r>
      <w:r w:rsidR="009447F9">
        <w:rPr>
          <w:rFonts w:ascii="Bookman Old Style" w:hAnsi="Bookman Old Style" w:cs="Bookman Old Style"/>
          <w:i w:val="0"/>
          <w:iCs w:val="0"/>
          <w:sz w:val="20"/>
          <w:szCs w:val="20"/>
        </w:rPr>
        <w:t>общим собранием участников ООО ИК «Айсберг Финанс»</w:t>
      </w:r>
      <w:r w:rsidRPr="009A4031">
        <w:rPr>
          <w:rFonts w:ascii="Bookman Old Style" w:hAnsi="Bookman Old Style" w:cs="Bookman Old Style"/>
          <w:i w:val="0"/>
          <w:iCs w:val="0"/>
          <w:sz w:val="20"/>
          <w:szCs w:val="20"/>
        </w:rPr>
        <w:t>.</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3.3. Счета на возмещение расходов Депозитария выставляются Депозитарием на основании счетов лиц, оказавших соответствующие услуги, включающие в себя:</w:t>
      </w:r>
    </w:p>
    <w:p w:rsidR="00E36589" w:rsidRPr="009A4031" w:rsidRDefault="00E36589" w:rsidP="00CB13F3">
      <w:pPr>
        <w:pStyle w:val="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услуги вышестоящих депозитариев, регистраторов; </w:t>
      </w:r>
    </w:p>
    <w:p w:rsidR="00E36589" w:rsidRPr="009A4031" w:rsidRDefault="00E36589" w:rsidP="00CB13F3">
      <w:pPr>
        <w:pStyle w:val="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услуги трансфер-агентов и агентов по перерегистрации;</w:t>
      </w:r>
    </w:p>
    <w:p w:rsidR="00E36589" w:rsidRPr="009A4031" w:rsidRDefault="00E36589" w:rsidP="00CB13F3">
      <w:pPr>
        <w:pStyle w:val="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услуги расчетных организаций;</w:t>
      </w:r>
    </w:p>
    <w:p w:rsidR="00E36589" w:rsidRPr="009A4031" w:rsidRDefault="00E36589" w:rsidP="00CB13F3">
      <w:pPr>
        <w:pStyle w:val="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вознаграждение кредитных организаций за перечисление доходов по ценным бумагам в денежной форме;</w:t>
      </w:r>
    </w:p>
    <w:p w:rsidR="00E36589" w:rsidRPr="009A4031" w:rsidRDefault="00E36589" w:rsidP="00CB13F3">
      <w:pPr>
        <w:pStyle w:val="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другие расходы, произведенные Депозитарием для выполнения поручений и распоряжений Депонента.</w:t>
      </w:r>
      <w:bookmarkStart w:id="0" w:name="_GoBack"/>
      <w:bookmarkEnd w:id="0"/>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Выставление счетов на возмещение расходов осуществляется в течение 5 (Пяти) рабочих дней со дня получения счетов от лиц, оказавших такие услуги.</w:t>
      </w:r>
    </w:p>
    <w:p w:rsidR="00E36589" w:rsidRPr="009A4031" w:rsidRDefault="00E36589" w:rsidP="00CB13F3">
      <w:pPr>
        <w:jc w:val="both"/>
        <w:rPr>
          <w:rFonts w:ascii="Bookman Old Style" w:hAnsi="Bookman Old Style" w:cs="Bookman Old Style"/>
          <w:sz w:val="20"/>
          <w:szCs w:val="20"/>
        </w:rPr>
      </w:pPr>
      <w:r w:rsidRPr="009A4031">
        <w:rPr>
          <w:rFonts w:ascii="Bookman Old Style" w:hAnsi="Bookman Old Style" w:cs="Bookman Old Style"/>
          <w:sz w:val="20"/>
          <w:szCs w:val="20"/>
        </w:rPr>
        <w:t>3.4. Счет за услуги Депозитария Депонент обязан оплатить в течение 20 (двадцати) рабочих дней, следующих за окончанием оплачиваемого месяца.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Счет на возмещение расходов Депозитария Депонент обязан оплатить в течение 5 (Пяти) рабочих дней, следующих за днем выставления счета.</w:t>
      </w:r>
    </w:p>
    <w:p w:rsidR="00E36589" w:rsidRPr="009A4031" w:rsidRDefault="00E36589" w:rsidP="00CB13F3">
      <w:pPr>
        <w:pStyle w:val="3"/>
        <w:spacing w:line="240" w:lineRule="auto"/>
        <w:ind w:firstLine="0"/>
        <w:rPr>
          <w:rFonts w:ascii="Bookman Old Style" w:eastAsia="SimSun" w:hAnsi="Bookman Old Style"/>
          <w:i w:val="0"/>
          <w:iCs w:val="0"/>
          <w:sz w:val="20"/>
          <w:szCs w:val="20"/>
          <w:lang w:eastAsia="zh-CN"/>
        </w:rPr>
      </w:pPr>
      <w:r w:rsidRPr="009A4031">
        <w:rPr>
          <w:rFonts w:ascii="Bookman Old Style" w:hAnsi="Bookman Old Style" w:cs="Bookman Old Style"/>
          <w:i w:val="0"/>
          <w:iCs w:val="0"/>
          <w:sz w:val="20"/>
          <w:szCs w:val="20"/>
        </w:rPr>
        <w:t xml:space="preserve">3.5. Депозитарий вправе удерживать денежные средства Депонента в размере суммы выставленного счета из любых денежных средств Депонента, учитываемых на специальном брокерском счете </w:t>
      </w:r>
      <w:r w:rsidRPr="009A4031">
        <w:rPr>
          <w:rFonts w:ascii="Bookman Old Style" w:hAnsi="Bookman Old Style" w:cs="Bookman Old Style"/>
          <w:b/>
          <w:bCs/>
          <w:i w:val="0"/>
          <w:iCs w:val="0"/>
          <w:snapToGrid w:val="0"/>
          <w:sz w:val="20"/>
          <w:szCs w:val="20"/>
        </w:rPr>
        <w:t>ООО ИК «Айсберг Финанс»,</w:t>
      </w:r>
      <w:r w:rsidRPr="009A4031">
        <w:rPr>
          <w:rFonts w:ascii="Bookman Old Style" w:hAnsi="Bookman Old Style" w:cs="Bookman Old Style"/>
          <w:i w:val="0"/>
          <w:iCs w:val="0"/>
          <w:sz w:val="20"/>
          <w:szCs w:val="20"/>
        </w:rPr>
        <w:t xml:space="preserve"> в случае заключения соответствующих договоров.</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3.6. В случае назначения Депонентом попечителя счета депо, счета за услуги Депозитария и возмещение расходов Депозитарий выставляет на имя попечителя счета депо. Депонент в этом случае обязан оплачивать счета за услуги Депозитария и на возмещение расходов, перевыставленные на его имя попечителем счета депо.</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3.7. Депозитарий вправе потребовать от Депонента предварительной оплаты услуг Депозитария и/или третьих лиц, указанных в п. 3.3. настоящего Договора, в следующих случаях:</w:t>
      </w:r>
    </w:p>
    <w:p w:rsidR="00E36589" w:rsidRPr="009A4031" w:rsidRDefault="00E36589" w:rsidP="00CB13F3">
      <w:pPr>
        <w:pStyle w:val="3"/>
        <w:numPr>
          <w:ilvl w:val="0"/>
          <w:numId w:val="5"/>
        </w:numPr>
        <w:tabs>
          <w:tab w:val="clear" w:pos="1440"/>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остаток ценных бумаг на счете депо Депонента в результате исполнения операции списания или перевода ценных </w:t>
      </w:r>
      <w:proofErr w:type="gramStart"/>
      <w:r w:rsidRPr="009A4031">
        <w:rPr>
          <w:rFonts w:ascii="Bookman Old Style" w:hAnsi="Bookman Old Style" w:cs="Bookman Old Style"/>
          <w:i w:val="0"/>
          <w:iCs w:val="0"/>
          <w:sz w:val="20"/>
          <w:szCs w:val="20"/>
        </w:rPr>
        <w:t>бумаг  будет</w:t>
      </w:r>
      <w:proofErr w:type="gramEnd"/>
      <w:r w:rsidRPr="009A4031">
        <w:rPr>
          <w:rFonts w:ascii="Bookman Old Style" w:hAnsi="Bookman Old Style" w:cs="Bookman Old Style"/>
          <w:i w:val="0"/>
          <w:iCs w:val="0"/>
          <w:sz w:val="20"/>
          <w:szCs w:val="20"/>
        </w:rPr>
        <w:t xml:space="preserve"> равен нулю; </w:t>
      </w:r>
    </w:p>
    <w:p w:rsidR="00E36589" w:rsidRPr="009A4031" w:rsidRDefault="00E36589" w:rsidP="00CB13F3">
      <w:pPr>
        <w:pStyle w:val="3"/>
        <w:numPr>
          <w:ilvl w:val="0"/>
          <w:numId w:val="5"/>
        </w:numPr>
        <w:tabs>
          <w:tab w:val="clear" w:pos="1440"/>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исполнение поручения Депонента потребует от Депозитария единовременных расходов, превышающих 3000 рублей;</w:t>
      </w:r>
    </w:p>
    <w:p w:rsidR="00E36589" w:rsidRPr="009A4031" w:rsidRDefault="00E36589" w:rsidP="00CB13F3">
      <w:pPr>
        <w:pStyle w:val="3"/>
        <w:numPr>
          <w:ilvl w:val="0"/>
          <w:numId w:val="5"/>
        </w:numPr>
        <w:tabs>
          <w:tab w:val="clear" w:pos="1440"/>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 случае, предусмотренном п. 8.5. настоящего Договора.</w:t>
      </w:r>
    </w:p>
    <w:p w:rsidR="00E36589" w:rsidRPr="009A4031" w:rsidRDefault="00E36589" w:rsidP="00CB13F3">
      <w:pPr>
        <w:pStyle w:val="3"/>
        <w:spacing w:line="240" w:lineRule="auto"/>
        <w:ind w:firstLine="0"/>
        <w:rPr>
          <w:rFonts w:ascii="Bookman Old Style" w:hAnsi="Bookman Old Style" w:cs="Bookman Old Style"/>
          <w:b/>
          <w:bCs/>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4. КОНФИДЕНЦИАЛЬНОСТЬ</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4.1. Стороны обязуются соблюдать конфиденциальность в отношении информации, ставшей им известной вследствие заключения и исполнения настоящего Договора.</w:t>
      </w:r>
    </w:p>
    <w:p w:rsidR="00E36589" w:rsidRPr="009A4031" w:rsidRDefault="00E36589" w:rsidP="00CB13F3">
      <w:pPr>
        <w:pStyle w:val="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4.2. Депозитарий обязуется без согласия Депонента не предоставлять кому-либо информацию о счете депо Депонента и об операциях по этому счету, кроме случаев, когда предоставление информации является обязанностью Депозитария в соответствии с требованиями действующего законодательства РФ или настоящего Договора.</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5. ОТВЕТСТВЕННОСТЬ СТОРОН</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5.1. Депозитарий не несет ответственности перед Депонентом:</w:t>
      </w:r>
    </w:p>
    <w:p w:rsidR="00E36589" w:rsidRPr="009A4031" w:rsidRDefault="00E36589" w:rsidP="00CB13F3">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убытки, причиненные в результате действий/бездействия любых уполномоченных Депонентом лиц,</w:t>
      </w:r>
    </w:p>
    <w:p w:rsidR="00E36589" w:rsidRPr="009A4031" w:rsidRDefault="00E36589" w:rsidP="00CB13F3">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за </w:t>
      </w:r>
      <w:r w:rsidRPr="009A4031">
        <w:rPr>
          <w:rFonts w:ascii="Bookman Old Style" w:hAnsi="Bookman Old Style" w:cs="Bookman Old Style"/>
          <w:sz w:val="20"/>
          <w:szCs w:val="20"/>
        </w:rPr>
        <w:t xml:space="preserve">убытки, причиненные вследствие невыполнения </w:t>
      </w:r>
      <w:proofErr w:type="gramStart"/>
      <w:r w:rsidRPr="009A4031">
        <w:rPr>
          <w:rFonts w:ascii="Bookman Old Style" w:hAnsi="Bookman Old Style" w:cs="Bookman Old Style"/>
          <w:sz w:val="20"/>
          <w:szCs w:val="20"/>
        </w:rPr>
        <w:t>или  ненадлежащего</w:t>
      </w:r>
      <w:proofErr w:type="gramEnd"/>
      <w:r w:rsidRPr="009A4031">
        <w:rPr>
          <w:rFonts w:ascii="Bookman Old Style" w:hAnsi="Bookman Old Style" w:cs="Bookman Old Style"/>
          <w:sz w:val="20"/>
          <w:szCs w:val="20"/>
        </w:rPr>
        <w:t xml:space="preserve"> выполнения Депонентом обязательств, предусмотренных п. 2.3.5., 2.3.6. настоящего Договора</w:t>
      </w:r>
      <w:r w:rsidRPr="009A4031">
        <w:rPr>
          <w:rFonts w:ascii="Bookman Old Style" w:hAnsi="Bookman Old Style" w:cs="Bookman Old Style"/>
          <w:snapToGrid w:val="0"/>
          <w:sz w:val="20"/>
          <w:szCs w:val="20"/>
        </w:rPr>
        <w:t>;</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непредставление или несвоевременное представление списков владельцев именных ценных бумаг в случае неполучения или несвоевременного получения соответствующего запроса от эмитента, регистратора, вышестоящего депозитария;</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действия/бездействие третьих лиц, включая, но не ограничиваясь:</w:t>
      </w:r>
    </w:p>
    <w:p w:rsidR="00E36589" w:rsidRPr="009A4031" w:rsidRDefault="00E36589" w:rsidP="00626FC2">
      <w:pPr>
        <w:widowControl w:val="0"/>
        <w:tabs>
          <w:tab w:val="num" w:pos="709"/>
        </w:tabs>
        <w:ind w:firstLine="1276"/>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неисполнение эмитентом своих обязательств по Ценным бумагам;</w:t>
      </w:r>
    </w:p>
    <w:p w:rsidR="00E36589" w:rsidRPr="009A4031" w:rsidRDefault="00E36589" w:rsidP="00626FC2">
      <w:pPr>
        <w:widowControl w:val="0"/>
        <w:tabs>
          <w:tab w:val="num" w:pos="709"/>
        </w:tabs>
        <w:ind w:firstLine="1276"/>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неправомерные действия эмитента или регистратора;</w:t>
      </w:r>
    </w:p>
    <w:p w:rsidR="00E36589" w:rsidRPr="009A4031" w:rsidRDefault="00E36589" w:rsidP="00626FC2">
      <w:pPr>
        <w:widowControl w:val="0"/>
        <w:tabs>
          <w:tab w:val="num" w:pos="709"/>
        </w:tabs>
        <w:ind w:firstLine="1276"/>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 предоставления регистратором и/или эмитентом и/или другим депозитарием неточной </w:t>
      </w:r>
      <w:r w:rsidRPr="009A4031">
        <w:rPr>
          <w:rFonts w:ascii="Bookman Old Style" w:hAnsi="Bookman Old Style" w:cs="Bookman Old Style"/>
          <w:snapToGrid w:val="0"/>
          <w:sz w:val="20"/>
          <w:szCs w:val="20"/>
        </w:rPr>
        <w:lastRenderedPageBreak/>
        <w:t>и/или неполной информации.</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за </w:t>
      </w:r>
      <w:proofErr w:type="gramStart"/>
      <w:r w:rsidRPr="009A4031">
        <w:rPr>
          <w:rFonts w:ascii="Bookman Old Style" w:hAnsi="Bookman Old Style" w:cs="Bookman Old Style"/>
          <w:snapToGrid w:val="0"/>
          <w:sz w:val="20"/>
          <w:szCs w:val="20"/>
        </w:rPr>
        <w:t>не соблюдение</w:t>
      </w:r>
      <w:proofErr w:type="gramEnd"/>
      <w:r w:rsidRPr="009A4031">
        <w:rPr>
          <w:rFonts w:ascii="Bookman Old Style" w:hAnsi="Bookman Old Style" w:cs="Bookman Old Style"/>
          <w:snapToGrid w:val="0"/>
          <w:sz w:val="20"/>
          <w:szCs w:val="20"/>
        </w:rPr>
        <w:t xml:space="preserve"> Депонентом ограничений, связанных с владением и обращением отдельных видов Ценных бумаг;</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убытки, причиненные в результате действий\бездействия вышестоящего депозитария, если выбор такового был обусловлен прямым указанием Депонента</w:t>
      </w:r>
      <w:r w:rsidR="0080667A">
        <w:rPr>
          <w:rFonts w:ascii="Bookman Old Style" w:hAnsi="Bookman Old Style" w:cs="Bookman Old Style"/>
          <w:snapToGrid w:val="0"/>
          <w:sz w:val="20"/>
          <w:szCs w:val="20"/>
        </w:rPr>
        <w:t>.</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5.2. Депонент несет ответственность за предоставление в Депозитарий недостоверной информации, предусмотренной настоящим Договором, а также за несвоевременное предоставление информации.</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5.3. Депонент несет ответственность за невыполнение или ненадлежащее выполнение обязательств по оплате услуг Депозитария, предусмотренных настоящим Договором, в соответствии с настоящим Договором и Регламентом.</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5.4. В случае задержки выполнения Депонентом обязательств, предусмотренных пунктом 3.4. настоящего Договора Депонент выплачивает Депозитарию неустойку в размере 0,5 % (ноль целых пять десятых) процента от подлежащей оплате суммы за каждый календарный день просрочки, но не более 10 % (десяти) процентов от указанной суммы.</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5.5. Депозитарий обязан возместить Депоненту убытки, причиненные последнему в случае невыполнения или ненадлежащего выполнения Депозитарием условий настоящего Договора, если не докажет, что убытки возникли вследствие обстоятельств, не зависящих от него.</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FD5BCC" w:rsidP="00CB13F3">
      <w:pPr>
        <w:widowControl w:val="0"/>
        <w:jc w:val="both"/>
        <w:rPr>
          <w:rFonts w:ascii="Bookman Old Style" w:hAnsi="Bookman Old Style" w:cs="Bookman Old Style"/>
          <w:b/>
          <w:bCs/>
          <w:snapToGrid w:val="0"/>
          <w:sz w:val="20"/>
          <w:szCs w:val="20"/>
        </w:rPr>
      </w:pPr>
      <w:r>
        <w:rPr>
          <w:rFonts w:ascii="Bookman Old Style" w:hAnsi="Bookman Old Style" w:cs="Bookman Old Style"/>
          <w:b/>
          <w:bCs/>
          <w:snapToGrid w:val="0"/>
          <w:sz w:val="20"/>
          <w:szCs w:val="20"/>
        </w:rPr>
        <w:t>6</w:t>
      </w:r>
      <w:r w:rsidR="00E36589" w:rsidRPr="009A4031">
        <w:rPr>
          <w:rFonts w:ascii="Bookman Old Style" w:hAnsi="Bookman Old Style" w:cs="Bookman Old Style"/>
          <w:b/>
          <w:bCs/>
          <w:snapToGrid w:val="0"/>
          <w:sz w:val="20"/>
          <w:szCs w:val="20"/>
        </w:rPr>
        <w:t>. ФОРС-МАЖОР</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6.1. Любая из Сторон Договора освобождается </w:t>
      </w:r>
      <w:proofErr w:type="gramStart"/>
      <w:r w:rsidRPr="009A4031">
        <w:rPr>
          <w:rFonts w:ascii="Bookman Old Style" w:hAnsi="Bookman Old Style" w:cs="Bookman Old Style"/>
          <w:i w:val="0"/>
          <w:iCs w:val="0"/>
          <w:sz w:val="20"/>
          <w:szCs w:val="20"/>
        </w:rPr>
        <w:t>от  ответственности</w:t>
      </w:r>
      <w:proofErr w:type="gramEnd"/>
      <w:r w:rsidRPr="009A4031">
        <w:rPr>
          <w:rFonts w:ascii="Bookman Old Style" w:hAnsi="Bookman Old Style" w:cs="Bookman Old Style"/>
          <w:i w:val="0"/>
          <w:iCs w:val="0"/>
          <w:sz w:val="20"/>
          <w:szCs w:val="20"/>
        </w:rPr>
        <w:t xml:space="preserve">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или предотвратить. К таким обстоятельствам относятся: наводнения, пожар, землетрясение и иные явления природы, а также военные действия, акты или действия государственных органов, препятствующие выполнению Сторонами обязательств по настоящему Договору. </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6.2. При наступлении обстоятельств, указанных в п. 6.1. настоящего Договора, Сторона, подвергшаяся их действию, должна не позднее чем в течение 3 (трех) рабочих дней со дня наступления форс-мажорных обстоятельств известить о них другую Сторону в письменной форме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6.3. Не извещение или несвоевременное извещение другой Стороны о наступлении форс-мажорных обстоятельств влечет за собой утрату права ссылаться на эти обстоятельства.</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6.4. В случаях наступления обстоятельств, предусмотренных в п. 6.1. настоящего Договора, срок выполнения Стороной обязательств по настоящему Договору переносится соразмерно времени, в течение которого действуют эти обстоятельства и/или их последствия.</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6.5. В случае если форс-мажорные обстоятельства длятся более одного месяца, то любая из Сторон имеет право расторгнуть настоящий Договор. </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jc w:val="both"/>
        <w:rPr>
          <w:rFonts w:ascii="Bookman Old Style" w:hAnsi="Bookman Old Style" w:cs="Bookman Old Style"/>
          <w:sz w:val="20"/>
          <w:szCs w:val="20"/>
        </w:rPr>
      </w:pPr>
      <w:r w:rsidRPr="009A4031">
        <w:rPr>
          <w:rFonts w:ascii="Bookman Old Style" w:hAnsi="Bookman Old Style" w:cs="Bookman Old Style"/>
          <w:b/>
          <w:bCs/>
          <w:snapToGrid w:val="0"/>
          <w:sz w:val="20"/>
          <w:szCs w:val="20"/>
        </w:rPr>
        <w:t>7. ПОРЯДОК РАЗРЕШЕНИЯ СПОРОВ</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7.1. Все споры и разногласия, возникающие между Сторонами по настоящему Договору или в связи с ним, разрешаются путем переговоров между Сторонами.</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7.2. Все вопросы, неурегулированные настоящим Договором, разрешаются в соответствии с действующим законодательством РФ. </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sz w:val="20"/>
          <w:szCs w:val="20"/>
        </w:rPr>
      </w:pPr>
      <w:r w:rsidRPr="009A4031">
        <w:rPr>
          <w:rFonts w:ascii="Bookman Old Style" w:hAnsi="Bookman Old Style" w:cs="Bookman Old Style"/>
          <w:b/>
          <w:bCs/>
          <w:snapToGrid w:val="0"/>
          <w:sz w:val="20"/>
          <w:szCs w:val="20"/>
        </w:rPr>
        <w:t>8. СРОК ДЕЙСТВИЯ И УСЛОВИЯ РАСТОРЖЕНИЯ НАСТОЯЩЕГО ДОГОВОРА</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8.1. Настоящий Договор вступает в силу с момента подписания и действует бессрочно.</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8.2. Каждая Сторона имеет право отказаться от исполнения настоящего Договора в одностороннем порядке.</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8.3. В случае одностороннего отказа от исполнения настоящего Договора, Сторона-инициатор обязана письменно уведомить о предстоящем расторжении другую Сторону не менее чем за 1 (Один) месяц до даты расторжения. В течение этого срока Депонент обязан подать поручения на списание всех Ценных бумаг со счета депо Депонента на счета, открытые </w:t>
      </w:r>
      <w:proofErr w:type="gramStart"/>
      <w:r w:rsidRPr="009A4031">
        <w:rPr>
          <w:rFonts w:ascii="Bookman Old Style" w:hAnsi="Bookman Old Style" w:cs="Bookman Old Style"/>
          <w:i w:val="0"/>
          <w:iCs w:val="0"/>
          <w:sz w:val="20"/>
          <w:szCs w:val="20"/>
        </w:rPr>
        <w:t>в  реестре</w:t>
      </w:r>
      <w:proofErr w:type="gramEnd"/>
      <w:r w:rsidRPr="009A4031">
        <w:rPr>
          <w:rFonts w:ascii="Bookman Old Style" w:hAnsi="Bookman Old Style" w:cs="Bookman Old Style"/>
          <w:i w:val="0"/>
          <w:iCs w:val="0"/>
          <w:sz w:val="20"/>
          <w:szCs w:val="20"/>
        </w:rPr>
        <w:t xml:space="preserve"> владельцев именных ценных бумаг, или на счета депо в другие депозитарии, и предварительно оплатить счет за услуги, связанные с выполнением данных поручений, а также счет на возмещение расходов Депозитария по исполнению таких поручений.</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8.4. Договор считается прекратившим свое действие только после полной оплаты Депонентом услуг, возмещения расходов Депозитария по оказанию услуг, предусмотренных настоящим Договором, и исполнения Депозитарием указанных в п. 8.3. настоящего Договора поручений Депонента.</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lastRenderedPageBreak/>
        <w:t>8.5. Оказание услуг после расторжения настоящего Договора (перечисление поступивших доходов, предоставление отчетов и т.д.) осуществляется в порядке, указанном в Регламенте. Стоимость услуг Депозитария в этом случае определяется Регламентом. Депозитарий вправе требовать предварительной оплаты данных услуг.</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8.6. Если иное не установлено распоряжением Депонента, перечисление доходов и отправка корреспонденции в его адрес после прекращения действия настоящего Договора производится по реквизитам, указанным в анкете Депонента на момент прекращения договорных отношений с Депозитарием.</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9. ПРОЧИЕ УСЛОВИЯ</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9.1. Настоящий Договор составлен в двух экземплярах, имеющих одинаковую юридическую силу, по одному для каждой из Сторон.</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9.2. Изменения и дополнения в настоящий Договор вносятся по взаимному согласию Сторон, оформленному в письменном виде и подписанному полномочными представителями Сторон, за исключением случаев, предусмотренных п. 2.2.3. настоящего Договора.</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9.3. В случае внесения изменений и (или) дополнений в Регламент в одностороннем порядке по инициативе Депозитария последний обязуется в срок не позднее чем за 10 (Десять) дней до даты вступления указанных изменений в силу уведомить Депонента об изменениях посредством размещения информации на WEB-сайте</w:t>
      </w:r>
      <w:r w:rsidRPr="009A4031">
        <w:rPr>
          <w:rFonts w:ascii="Bookman Old Style" w:hAnsi="Bookman Old Style" w:cs="Bookman Old Style"/>
          <w:sz w:val="20"/>
          <w:szCs w:val="20"/>
        </w:rPr>
        <w:t>.</w:t>
      </w:r>
      <w:r w:rsidRPr="009A4031">
        <w:rPr>
          <w:rFonts w:ascii="Bookman Old Style" w:hAnsi="Bookman Old Style" w:cs="Bookman Old Style"/>
          <w:i w:val="0"/>
          <w:iCs w:val="0"/>
          <w:sz w:val="20"/>
          <w:szCs w:val="20"/>
        </w:rPr>
        <w:t xml:space="preserve"> </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 случае если внесение изменений и дополнений в Регламент обусловлено изменением нормативных правовых актов РФ, регламентирующих порядок осуществления депозитарной деятельности и/или обращения ценных бумаг, то такие изменения начинают действовать с момента вступления в силу соответствующих нормативных правовых актов.</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9.4. После размещения указанной информации на WEB-сайте Депозитария считается, что Депозитарий уведомил Депонента о внесении изменений и дополнений в настоящий Договор. Датой уведомления считается дата размещения информации на WEB-сайте. Ответственность за получение указанной информации лежит на Депоненте.</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9.5. Депонентам рекомендуется просматривать WEB-сайт Депозитария.</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9.6. Подписывая настоящий Договор, Депонент подтверждает, что он ознакомлен с Регламентом, являющимся неотъемлемой его частью.</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9.7. При исполнении обязательств по настоящему Договору</w:t>
      </w:r>
      <w:r w:rsidR="005F2554">
        <w:rPr>
          <w:rFonts w:ascii="Bookman Old Style" w:hAnsi="Bookman Old Style" w:cs="Bookman Old Style"/>
          <w:i w:val="0"/>
          <w:iCs w:val="0"/>
          <w:sz w:val="20"/>
          <w:szCs w:val="20"/>
        </w:rPr>
        <w:t xml:space="preserve">, </w:t>
      </w:r>
      <w:r w:rsidR="005F2554" w:rsidRPr="003E7ABD">
        <w:rPr>
          <w:rFonts w:ascii="Bookman Old Style" w:hAnsi="Bookman Old Style" w:cs="Bookman Old Style"/>
          <w:i w:val="0"/>
          <w:iCs w:val="0"/>
          <w:sz w:val="20"/>
          <w:szCs w:val="20"/>
        </w:rPr>
        <w:t>если иное не указано в Регламенте, сообщения и документы передаются Сторонами в письменном виде посредством почтовой связи, курьерской связи или электронной почты с последующей передачей оригиналов сообщений и документов</w:t>
      </w:r>
      <w:r w:rsidRPr="009A4031">
        <w:rPr>
          <w:rFonts w:ascii="Bookman Old Style" w:hAnsi="Bookman Old Style" w:cs="Bookman Old Style"/>
          <w:i w:val="0"/>
          <w:iCs w:val="0"/>
          <w:sz w:val="20"/>
          <w:szCs w:val="20"/>
        </w:rPr>
        <w:t>.</w:t>
      </w:r>
    </w:p>
    <w:p w:rsidR="00E36589" w:rsidRPr="009A4031" w:rsidRDefault="00E36589" w:rsidP="00CB13F3">
      <w:pPr>
        <w:pStyle w:val="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9.8. Для передачи информации Депоненту Депозитарий использует адреса для связи, указанные в анкете Депонента. Стороны признают обмен сообщениями</w:t>
      </w:r>
      <w:r w:rsidR="0030652B">
        <w:rPr>
          <w:rFonts w:ascii="Bookman Old Style" w:hAnsi="Bookman Old Style" w:cs="Bookman Old Style"/>
          <w:i w:val="0"/>
          <w:iCs w:val="0"/>
          <w:sz w:val="20"/>
          <w:szCs w:val="20"/>
        </w:rPr>
        <w:t xml:space="preserve"> по электронной почте</w:t>
      </w:r>
      <w:r w:rsidRPr="009A4031">
        <w:rPr>
          <w:rFonts w:ascii="Bookman Old Style" w:hAnsi="Bookman Old Style" w:cs="Bookman Old Style"/>
          <w:i w:val="0"/>
          <w:iCs w:val="0"/>
          <w:sz w:val="20"/>
          <w:szCs w:val="20"/>
        </w:rPr>
        <w:t xml:space="preserve"> в случаях, предусмотренных Регламентом, в качестве письменной формы обмена информацией. Стороны договорились также признавать такие сообщения доказательствами при рассмотрении любых разногласий, в том числе в суде</w:t>
      </w:r>
      <w:r w:rsidR="0030652B">
        <w:rPr>
          <w:rFonts w:ascii="Bookman Old Style" w:hAnsi="Bookman Old Style" w:cs="Bookman Old Style"/>
          <w:i w:val="0"/>
          <w:iCs w:val="0"/>
          <w:sz w:val="20"/>
          <w:szCs w:val="20"/>
        </w:rPr>
        <w:t>.</w:t>
      </w:r>
    </w:p>
    <w:p w:rsidR="00E36589" w:rsidRPr="009A4031" w:rsidRDefault="00E36589" w:rsidP="00CB13F3">
      <w:pPr>
        <w:jc w:val="both"/>
        <w:rPr>
          <w:rFonts w:ascii="Bookman Old Style" w:hAnsi="Bookman Old Style" w:cs="Bookman Old Style"/>
          <w:sz w:val="20"/>
          <w:szCs w:val="20"/>
        </w:rPr>
      </w:pPr>
    </w:p>
    <w:tbl>
      <w:tblPr>
        <w:tblpPr w:leftFromText="180" w:rightFromText="180" w:vertAnchor="text" w:horzAnchor="margin" w:tblpY="747"/>
        <w:tblW w:w="10866" w:type="dxa"/>
        <w:tblLayout w:type="fixed"/>
        <w:tblLook w:val="0000" w:firstRow="0" w:lastRow="0" w:firstColumn="0" w:lastColumn="0" w:noHBand="0" w:noVBand="0"/>
      </w:tblPr>
      <w:tblGrid>
        <w:gridCol w:w="5211"/>
        <w:gridCol w:w="284"/>
        <w:gridCol w:w="5371"/>
      </w:tblGrid>
      <w:tr w:rsidR="00E36589" w:rsidRPr="009A4031">
        <w:tc>
          <w:tcPr>
            <w:tcW w:w="5211" w:type="dxa"/>
          </w:tcPr>
          <w:p w:rsidR="00E36589" w:rsidRPr="009A4031" w:rsidRDefault="00E36589" w:rsidP="005679B6">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 xml:space="preserve">ДЕПОЗИТАРИЙ: </w:t>
            </w:r>
          </w:p>
          <w:p w:rsidR="00E36589" w:rsidRPr="009A4031" w:rsidRDefault="00E36589" w:rsidP="00A64D5C">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ООО ИК «Айсберг Финанс»</w:t>
            </w:r>
          </w:p>
        </w:tc>
        <w:tc>
          <w:tcPr>
            <w:tcW w:w="284" w:type="dxa"/>
          </w:tcPr>
          <w:p w:rsidR="00E36589" w:rsidRPr="009A4031" w:rsidRDefault="00E36589" w:rsidP="005679B6">
            <w:pPr>
              <w:widowControl w:val="0"/>
              <w:rPr>
                <w:rFonts w:ascii="Bookman Old Style" w:hAnsi="Bookman Old Style" w:cs="Bookman Old Style"/>
                <w:b/>
                <w:bCs/>
                <w:snapToGrid w:val="0"/>
                <w:sz w:val="20"/>
                <w:szCs w:val="20"/>
              </w:rPr>
            </w:pPr>
          </w:p>
        </w:tc>
        <w:tc>
          <w:tcPr>
            <w:tcW w:w="5371" w:type="dxa"/>
          </w:tcPr>
          <w:p w:rsidR="00E36589" w:rsidRPr="009A4031" w:rsidRDefault="00E36589" w:rsidP="005679B6">
            <w:pPr>
              <w:widowControl w:val="0"/>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ДЕПОНЕНТ:</w:t>
            </w:r>
          </w:p>
        </w:tc>
      </w:tr>
      <w:tr w:rsidR="00E36589" w:rsidRPr="009A4031">
        <w:tc>
          <w:tcPr>
            <w:tcW w:w="5211" w:type="dxa"/>
          </w:tcPr>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F52F18">
            <w:pPr>
              <w:widowControl w:val="0"/>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 xml:space="preserve">Место нахождения: </w:t>
            </w:r>
            <w:r w:rsidRPr="009A4031">
              <w:rPr>
                <w:rFonts w:ascii="Bookman Old Style" w:hAnsi="Bookman Old Style" w:cs="Bookman Old Style"/>
                <w:sz w:val="20"/>
                <w:szCs w:val="20"/>
              </w:rPr>
              <w:t>1</w:t>
            </w:r>
            <w:r>
              <w:rPr>
                <w:rFonts w:ascii="Bookman Old Style" w:hAnsi="Bookman Old Style" w:cs="Bookman Old Style"/>
                <w:sz w:val="20"/>
                <w:szCs w:val="20"/>
              </w:rPr>
              <w:t>21059</w:t>
            </w:r>
            <w:r w:rsidRPr="009A4031">
              <w:rPr>
                <w:rFonts w:ascii="Bookman Old Style" w:hAnsi="Bookman Old Style" w:cs="Bookman Old Style"/>
                <w:sz w:val="20"/>
                <w:szCs w:val="20"/>
              </w:rPr>
              <w:t xml:space="preserve">, г. Москва, </w:t>
            </w:r>
            <w:r>
              <w:rPr>
                <w:rFonts w:ascii="Bookman Old Style" w:hAnsi="Bookman Old Style" w:cs="Bookman Old Style"/>
                <w:sz w:val="20"/>
                <w:szCs w:val="20"/>
              </w:rPr>
              <w:t>МЖД Киевское 5-й км., д.1, стр.1,2, помещ</w:t>
            </w:r>
            <w:r w:rsidR="002457C4">
              <w:rPr>
                <w:rFonts w:ascii="Bookman Old Style" w:hAnsi="Bookman Old Style" w:cs="Bookman Old Style"/>
                <w:sz w:val="20"/>
                <w:szCs w:val="20"/>
              </w:rPr>
              <w:t>ение</w:t>
            </w:r>
            <w:r>
              <w:rPr>
                <w:rFonts w:ascii="Bookman Old Style" w:hAnsi="Bookman Old Style" w:cs="Bookman Old Style"/>
                <w:sz w:val="20"/>
                <w:szCs w:val="20"/>
              </w:rPr>
              <w:t xml:space="preserve"> </w:t>
            </w:r>
            <w:r w:rsidR="002457C4">
              <w:rPr>
                <w:rFonts w:ascii="Bookman Old Style" w:hAnsi="Bookman Old Style" w:cs="Bookman Old Style"/>
                <w:sz w:val="20"/>
                <w:szCs w:val="20"/>
              </w:rPr>
              <w:t xml:space="preserve">№ </w:t>
            </w:r>
            <w:r>
              <w:rPr>
                <w:rFonts w:ascii="Bookman Old Style" w:hAnsi="Bookman Old Style" w:cs="Bookman Old Style"/>
                <w:sz w:val="20"/>
                <w:szCs w:val="20"/>
              </w:rPr>
              <w:t>25</w:t>
            </w:r>
            <w:r w:rsidR="002457C4">
              <w:rPr>
                <w:rFonts w:ascii="Bookman Old Style" w:hAnsi="Bookman Old Style" w:cs="Bookman Old Style"/>
                <w:sz w:val="20"/>
                <w:szCs w:val="20"/>
              </w:rPr>
              <w:t xml:space="preserve"> (</w:t>
            </w:r>
            <w:proofErr w:type="spellStart"/>
            <w:r w:rsidR="002457C4">
              <w:rPr>
                <w:rFonts w:ascii="Bookman Old Style" w:hAnsi="Bookman Old Style" w:cs="Bookman Old Style"/>
                <w:sz w:val="20"/>
                <w:szCs w:val="20"/>
              </w:rPr>
              <w:t>каб</w:t>
            </w:r>
            <w:proofErr w:type="spellEnd"/>
            <w:r w:rsidR="002457C4">
              <w:rPr>
                <w:rFonts w:ascii="Bookman Old Style" w:hAnsi="Bookman Old Style" w:cs="Bookman Old Style"/>
                <w:sz w:val="20"/>
                <w:szCs w:val="20"/>
              </w:rPr>
              <w:t>. 210)</w:t>
            </w:r>
          </w:p>
          <w:p w:rsidR="002457C4" w:rsidRPr="009A4031" w:rsidRDefault="002457C4" w:rsidP="002457C4">
            <w:pPr>
              <w:widowControl w:val="0"/>
              <w:rPr>
                <w:rFonts w:ascii="Bookman Old Style" w:hAnsi="Bookman Old Style" w:cs="Bookman Old Style"/>
                <w:b/>
                <w:bCs/>
                <w:snapToGrid w:val="0"/>
                <w:sz w:val="20"/>
                <w:szCs w:val="20"/>
              </w:rPr>
            </w:pPr>
            <w:r>
              <w:rPr>
                <w:rFonts w:ascii="Bookman Old Style" w:hAnsi="Bookman Old Style" w:cs="Bookman Old Style"/>
                <w:b/>
                <w:bCs/>
                <w:snapToGrid w:val="0"/>
                <w:sz w:val="20"/>
                <w:szCs w:val="20"/>
              </w:rPr>
              <w:t xml:space="preserve">Почтовый адрес: </w:t>
            </w:r>
            <w:r w:rsidRPr="009A4031">
              <w:rPr>
                <w:rFonts w:ascii="Bookman Old Style" w:hAnsi="Bookman Old Style" w:cs="Bookman Old Style"/>
                <w:sz w:val="20"/>
                <w:szCs w:val="20"/>
              </w:rPr>
              <w:t>1</w:t>
            </w:r>
            <w:r>
              <w:rPr>
                <w:rFonts w:ascii="Bookman Old Style" w:hAnsi="Bookman Old Style" w:cs="Bookman Old Style"/>
                <w:sz w:val="20"/>
                <w:szCs w:val="20"/>
              </w:rPr>
              <w:t>21059</w:t>
            </w:r>
            <w:r w:rsidRPr="009A4031">
              <w:rPr>
                <w:rFonts w:ascii="Bookman Old Style" w:hAnsi="Bookman Old Style" w:cs="Bookman Old Style"/>
                <w:sz w:val="20"/>
                <w:szCs w:val="20"/>
              </w:rPr>
              <w:t xml:space="preserve">, г. Москва, </w:t>
            </w:r>
            <w:r>
              <w:rPr>
                <w:rFonts w:ascii="Bookman Old Style" w:hAnsi="Bookman Old Style" w:cs="Bookman Old Style"/>
                <w:sz w:val="20"/>
                <w:szCs w:val="20"/>
              </w:rPr>
              <w:t>МЖД Киевское 5-й км., д.1, стр.1,2, помещение № 25 (</w:t>
            </w:r>
            <w:proofErr w:type="spellStart"/>
            <w:r>
              <w:rPr>
                <w:rFonts w:ascii="Bookman Old Style" w:hAnsi="Bookman Old Style" w:cs="Bookman Old Style"/>
                <w:sz w:val="20"/>
                <w:szCs w:val="20"/>
              </w:rPr>
              <w:t>каб</w:t>
            </w:r>
            <w:proofErr w:type="spellEnd"/>
            <w:r>
              <w:rPr>
                <w:rFonts w:ascii="Bookman Old Style" w:hAnsi="Bookman Old Style" w:cs="Bookman Old Style"/>
                <w:sz w:val="20"/>
                <w:szCs w:val="20"/>
              </w:rPr>
              <w:t>. 210)</w:t>
            </w:r>
            <w:r w:rsidR="00A27A1A">
              <w:rPr>
                <w:rFonts w:ascii="Bookman Old Style" w:hAnsi="Bookman Old Style" w:cs="Bookman Old Style"/>
                <w:sz w:val="20"/>
                <w:szCs w:val="20"/>
              </w:rPr>
              <w:t>.</w:t>
            </w:r>
          </w:p>
          <w:p w:rsidR="002457C4" w:rsidRDefault="002457C4" w:rsidP="00F52F18">
            <w:pPr>
              <w:widowControl w:val="0"/>
              <w:spacing w:line="276" w:lineRule="auto"/>
              <w:jc w:val="both"/>
              <w:rPr>
                <w:rFonts w:ascii="Bookman Old Style" w:hAnsi="Bookman Old Style" w:cs="Bookman Old Style"/>
                <w:b/>
                <w:bCs/>
                <w:snapToGrid w:val="0"/>
                <w:sz w:val="20"/>
                <w:szCs w:val="20"/>
              </w:rPr>
            </w:pPr>
          </w:p>
          <w:p w:rsidR="00E36589" w:rsidRPr="009A4031" w:rsidRDefault="00E36589" w:rsidP="00F52F18">
            <w:pPr>
              <w:widowControl w:val="0"/>
              <w:spacing w:line="276" w:lineRule="auto"/>
              <w:jc w:val="both"/>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Тел.</w:t>
            </w:r>
            <w:r w:rsidR="002457C4">
              <w:rPr>
                <w:rFonts w:ascii="Bookman Old Style" w:hAnsi="Bookman Old Style" w:cs="Bookman Old Style"/>
                <w:b/>
                <w:bCs/>
                <w:snapToGrid w:val="0"/>
                <w:sz w:val="20"/>
                <w:szCs w:val="20"/>
              </w:rPr>
              <w:t xml:space="preserve">+7 </w:t>
            </w:r>
            <w:r w:rsidRPr="009A4031">
              <w:rPr>
                <w:rFonts w:ascii="Bookman Old Style" w:hAnsi="Bookman Old Style" w:cs="Bookman Old Style"/>
                <w:snapToGrid w:val="0"/>
                <w:sz w:val="20"/>
                <w:szCs w:val="20"/>
              </w:rPr>
              <w:t xml:space="preserve">(499) 290-02-52; </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ОГРН </w:t>
            </w:r>
            <w:r w:rsidRPr="009A4031">
              <w:rPr>
                <w:rFonts w:ascii="Bookman Old Style" w:hAnsi="Bookman Old Style" w:cs="Bookman Old Style"/>
                <w:sz w:val="20"/>
                <w:szCs w:val="20"/>
              </w:rPr>
              <w:t>1147746970106 ИНН 7734731423</w:t>
            </w:r>
          </w:p>
          <w:p w:rsidR="00E36589" w:rsidRPr="009A4031" w:rsidRDefault="00E36589" w:rsidP="005679B6">
            <w:pPr>
              <w:pStyle w:val="5"/>
              <w:jc w:val="left"/>
              <w:rPr>
                <w:rFonts w:ascii="Bookman Old Style" w:hAnsi="Bookman Old Style" w:cs="Bookman Old Style"/>
                <w:b w:val="0"/>
                <w:bCs w:val="0"/>
                <w:i w:val="0"/>
                <w:iCs w:val="0"/>
                <w:sz w:val="20"/>
                <w:szCs w:val="20"/>
              </w:rPr>
            </w:pPr>
          </w:p>
          <w:p w:rsidR="00E36589" w:rsidRDefault="00E36589" w:rsidP="005679B6">
            <w:pPr>
              <w:pStyle w:val="a3"/>
              <w:rPr>
                <w:rFonts w:ascii="Bookman Old Style" w:hAnsi="Bookman Old Style" w:cs="Bookman Old Style"/>
                <w:b/>
                <w:bCs/>
                <w:sz w:val="20"/>
                <w:szCs w:val="20"/>
              </w:rPr>
            </w:pPr>
            <w:r w:rsidRPr="009A4031">
              <w:rPr>
                <w:rFonts w:ascii="Bookman Old Style" w:hAnsi="Bookman Old Style" w:cs="Bookman Old Style"/>
                <w:b/>
                <w:bCs/>
                <w:sz w:val="20"/>
                <w:szCs w:val="20"/>
              </w:rPr>
              <w:t xml:space="preserve">Банковские реквизиты: </w:t>
            </w:r>
          </w:p>
          <w:p w:rsidR="002457C4" w:rsidRPr="00243865" w:rsidRDefault="002457C4" w:rsidP="002457C4">
            <w:pPr>
              <w:shd w:val="clear" w:color="auto" w:fill="FFFFFF"/>
              <w:rPr>
                <w:rFonts w:cs="Arial"/>
                <w:color w:val="222222"/>
                <w:sz w:val="19"/>
                <w:szCs w:val="19"/>
              </w:rPr>
            </w:pPr>
            <w:r>
              <w:rPr>
                <w:color w:val="000000"/>
              </w:rPr>
              <w:t>р/с</w:t>
            </w:r>
            <w:r w:rsidRPr="00F129D0">
              <w:rPr>
                <w:b/>
                <w:color w:val="000000"/>
              </w:rPr>
              <w:t> </w:t>
            </w:r>
            <w:r w:rsidRPr="00281BDA">
              <w:t>40701810100350001146</w:t>
            </w:r>
          </w:p>
          <w:p w:rsidR="002457C4" w:rsidRDefault="002457C4" w:rsidP="002457C4">
            <w:pPr>
              <w:rPr>
                <w:rFonts w:eastAsia="SimSun"/>
                <w:lang w:eastAsia="zh-CN"/>
              </w:rPr>
            </w:pPr>
            <w:r w:rsidRPr="00694DF7">
              <w:rPr>
                <w:rFonts w:eastAsia="SimSun"/>
                <w:lang w:eastAsia="zh-CN"/>
              </w:rPr>
              <w:t xml:space="preserve">в </w:t>
            </w:r>
            <w:r>
              <w:rPr>
                <w:rFonts w:eastAsia="SimSun"/>
                <w:lang w:eastAsia="zh-CN"/>
              </w:rPr>
              <w:t>ПАО «Московский Кредитный Банк»</w:t>
            </w:r>
          </w:p>
          <w:p w:rsidR="002457C4" w:rsidRDefault="002457C4" w:rsidP="002457C4">
            <w:pPr>
              <w:rPr>
                <w:rFonts w:eastAsia="SimSun"/>
                <w:lang w:eastAsia="zh-CN"/>
              </w:rPr>
            </w:pPr>
            <w:r w:rsidRPr="00694DF7">
              <w:rPr>
                <w:rFonts w:eastAsia="SimSun"/>
                <w:lang w:eastAsia="zh-CN"/>
              </w:rPr>
              <w:t>к/с 30101810</w:t>
            </w:r>
            <w:r>
              <w:rPr>
                <w:rFonts w:eastAsia="SimSun"/>
                <w:lang w:eastAsia="zh-CN"/>
              </w:rPr>
              <w:t>745250000659 в Отделении 1 Москва,</w:t>
            </w:r>
          </w:p>
          <w:p w:rsidR="002457C4" w:rsidRDefault="002457C4" w:rsidP="002457C4">
            <w:pPr>
              <w:rPr>
                <w:rFonts w:eastAsia="SimSun"/>
                <w:lang w:eastAsia="zh-CN"/>
              </w:rPr>
            </w:pPr>
            <w:r w:rsidRPr="00694DF7">
              <w:rPr>
                <w:rFonts w:eastAsia="SimSun"/>
                <w:lang w:eastAsia="zh-CN"/>
              </w:rPr>
              <w:t>БИК 044525</w:t>
            </w:r>
            <w:r>
              <w:rPr>
                <w:rFonts w:eastAsia="SimSun"/>
                <w:lang w:eastAsia="zh-CN"/>
              </w:rPr>
              <w:t>659</w:t>
            </w:r>
          </w:p>
          <w:p w:rsidR="00A0616F" w:rsidRDefault="00A0616F" w:rsidP="002457C4">
            <w:pPr>
              <w:rPr>
                <w:color w:val="000000"/>
              </w:rPr>
            </w:pPr>
            <w:r>
              <w:rPr>
                <w:rFonts w:eastAsia="SimSun"/>
                <w:lang w:eastAsia="zh-CN"/>
              </w:rPr>
              <w:t>ИНН 7734202860</w:t>
            </w:r>
          </w:p>
          <w:p w:rsidR="002457C4" w:rsidRPr="009A4031" w:rsidRDefault="002457C4" w:rsidP="005679B6">
            <w:pPr>
              <w:pStyle w:val="a3"/>
              <w:rPr>
                <w:rFonts w:ascii="Bookman Old Style" w:hAnsi="Bookman Old Style" w:cs="Bookman Old Style"/>
                <w:b/>
                <w:bCs/>
                <w:sz w:val="20"/>
                <w:szCs w:val="20"/>
              </w:rPr>
            </w:pPr>
          </w:p>
          <w:p w:rsidR="00E36589" w:rsidRPr="009A4031" w:rsidRDefault="00E36589" w:rsidP="005679B6">
            <w:pPr>
              <w:widowControl w:val="0"/>
              <w:jc w:val="both"/>
              <w:rPr>
                <w:rFonts w:ascii="Bookman Old Style" w:hAnsi="Bookman Old Style" w:cs="Bookman Old Style"/>
                <w:b/>
                <w:bCs/>
                <w:snapToGrid w:val="0"/>
                <w:sz w:val="20"/>
                <w:szCs w:val="20"/>
              </w:rPr>
            </w:pPr>
          </w:p>
          <w:p w:rsidR="00E36589" w:rsidRPr="009A4031" w:rsidRDefault="00E36589" w:rsidP="005679B6">
            <w:pPr>
              <w:widowControl w:val="0"/>
              <w:jc w:val="both"/>
              <w:rPr>
                <w:rFonts w:ascii="Bookman Old Style" w:hAnsi="Bookman Old Style" w:cs="Bookman Old Style"/>
                <w:b/>
                <w:bCs/>
                <w:snapToGrid w:val="0"/>
                <w:sz w:val="20"/>
                <w:szCs w:val="20"/>
              </w:rPr>
            </w:pPr>
          </w:p>
          <w:p w:rsidR="00A0616F" w:rsidRPr="009A4031" w:rsidRDefault="00A0616F" w:rsidP="00A0616F">
            <w:pPr>
              <w:widowControl w:val="0"/>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_________________ / ___________</w:t>
            </w:r>
          </w:p>
          <w:p w:rsidR="00E36589" w:rsidRPr="009A4031" w:rsidRDefault="00A0616F" w:rsidP="00A0616F">
            <w:pPr>
              <w:widowControl w:val="0"/>
              <w:jc w:val="both"/>
              <w:rPr>
                <w:rFonts w:ascii="Bookman Old Style" w:hAnsi="Bookman Old Style" w:cs="Bookman Old Style"/>
                <w:sz w:val="20"/>
                <w:szCs w:val="20"/>
              </w:rPr>
            </w:pPr>
            <w:r w:rsidRPr="009A4031">
              <w:rPr>
                <w:rFonts w:ascii="Bookman Old Style" w:hAnsi="Bookman Old Style" w:cs="Bookman Old Style"/>
                <w:sz w:val="20"/>
                <w:szCs w:val="20"/>
              </w:rPr>
              <w:tab/>
            </w:r>
            <w:r w:rsidRPr="009A4031">
              <w:rPr>
                <w:rFonts w:ascii="Bookman Old Style" w:hAnsi="Bookman Old Style" w:cs="Bookman Old Style"/>
                <w:snapToGrid w:val="0"/>
                <w:sz w:val="20"/>
                <w:szCs w:val="20"/>
              </w:rPr>
              <w:t>М.П.</w:t>
            </w:r>
            <w:r w:rsidRPr="009A4031">
              <w:rPr>
                <w:rFonts w:ascii="Bookman Old Style" w:hAnsi="Bookman Old Style" w:cs="Bookman Old Style"/>
                <w:snapToGrid w:val="0"/>
                <w:sz w:val="20"/>
                <w:szCs w:val="20"/>
              </w:rPr>
              <w:tab/>
              <w:t xml:space="preserve">                          </w:t>
            </w:r>
          </w:p>
          <w:p w:rsidR="00E36589" w:rsidRPr="009A4031" w:rsidRDefault="00E36589" w:rsidP="005679B6">
            <w:pPr>
              <w:widowControl w:val="0"/>
              <w:jc w:val="both"/>
              <w:rPr>
                <w:rFonts w:ascii="Bookman Old Style" w:hAnsi="Bookman Old Style" w:cs="Bookman Old Style"/>
                <w:sz w:val="20"/>
                <w:szCs w:val="20"/>
              </w:rPr>
            </w:pP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p>
        </w:tc>
        <w:tc>
          <w:tcPr>
            <w:tcW w:w="284" w:type="dxa"/>
          </w:tcPr>
          <w:p w:rsidR="00E36589" w:rsidRPr="009A4031" w:rsidRDefault="00E36589" w:rsidP="005679B6">
            <w:pPr>
              <w:widowControl w:val="0"/>
              <w:rPr>
                <w:rFonts w:ascii="Bookman Old Style" w:hAnsi="Bookman Old Style" w:cs="Bookman Old Style"/>
                <w:b/>
                <w:bCs/>
                <w:snapToGrid w:val="0"/>
                <w:sz w:val="20"/>
                <w:szCs w:val="20"/>
              </w:rPr>
            </w:pPr>
          </w:p>
        </w:tc>
        <w:tc>
          <w:tcPr>
            <w:tcW w:w="5371" w:type="dxa"/>
          </w:tcPr>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 xml:space="preserve">Место нахождения: </w:t>
            </w:r>
            <w:r w:rsidRPr="009A4031">
              <w:rPr>
                <w:rFonts w:ascii="Bookman Old Style" w:hAnsi="Bookman Old Style" w:cs="Bookman Old Style"/>
                <w:snapToGrid w:val="0"/>
                <w:sz w:val="20"/>
                <w:szCs w:val="20"/>
              </w:rPr>
              <w:t>___________</w:t>
            </w:r>
          </w:p>
          <w:p w:rsidR="00E36589" w:rsidRPr="009A4031" w:rsidRDefault="00E36589" w:rsidP="005679B6">
            <w:pPr>
              <w:widowControl w:val="0"/>
              <w:rPr>
                <w:rFonts w:ascii="Bookman Old Style" w:hAnsi="Bookman Old Style" w:cs="Bookman Old Style"/>
                <w:b/>
                <w:bCs/>
                <w:snapToGrid w:val="0"/>
                <w:sz w:val="20"/>
                <w:szCs w:val="20"/>
              </w:rPr>
            </w:pPr>
          </w:p>
          <w:p w:rsidR="00A0616F" w:rsidRDefault="00A0616F" w:rsidP="005679B6">
            <w:pPr>
              <w:widowControl w:val="0"/>
              <w:rPr>
                <w:rFonts w:ascii="Bookman Old Style" w:hAnsi="Bookman Old Style" w:cs="Bookman Old Style"/>
                <w:b/>
                <w:bCs/>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Почтовый адрес:</w:t>
            </w:r>
            <w:r w:rsidRPr="009A4031">
              <w:rPr>
                <w:rFonts w:ascii="Bookman Old Style" w:hAnsi="Bookman Old Style" w:cs="Bookman Old Style"/>
                <w:snapToGrid w:val="0"/>
                <w:sz w:val="20"/>
                <w:szCs w:val="20"/>
              </w:rPr>
              <w:t xml:space="preserve"> _____________</w:t>
            </w:r>
          </w:p>
          <w:p w:rsidR="00E36589" w:rsidRPr="009A4031" w:rsidRDefault="00E36589" w:rsidP="005679B6">
            <w:pPr>
              <w:widowControl w:val="0"/>
              <w:rPr>
                <w:rFonts w:ascii="Bookman Old Style" w:hAnsi="Bookman Old Style" w:cs="Bookman Old Style"/>
                <w:b/>
                <w:bCs/>
                <w:snapToGrid w:val="0"/>
                <w:sz w:val="20"/>
                <w:szCs w:val="20"/>
              </w:rPr>
            </w:pPr>
          </w:p>
          <w:p w:rsidR="00A0616F" w:rsidRDefault="00A0616F" w:rsidP="005679B6">
            <w:pPr>
              <w:widowControl w:val="0"/>
              <w:rPr>
                <w:rFonts w:ascii="Bookman Old Style" w:hAnsi="Bookman Old Style" w:cs="Bookman Old Style"/>
                <w:b/>
                <w:bCs/>
                <w:snapToGrid w:val="0"/>
                <w:sz w:val="20"/>
                <w:szCs w:val="20"/>
              </w:rPr>
            </w:pPr>
          </w:p>
          <w:p w:rsidR="00A0616F" w:rsidRDefault="00A0616F" w:rsidP="005679B6">
            <w:pPr>
              <w:widowControl w:val="0"/>
              <w:rPr>
                <w:rFonts w:ascii="Bookman Old Style" w:hAnsi="Bookman Old Style" w:cs="Bookman Old Style"/>
                <w:b/>
                <w:bCs/>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Тел</w:t>
            </w:r>
            <w:r w:rsidRPr="009A4031">
              <w:rPr>
                <w:rFonts w:ascii="Bookman Old Style" w:hAnsi="Bookman Old Style" w:cs="Bookman Old Style"/>
                <w:snapToGrid w:val="0"/>
                <w:sz w:val="20"/>
                <w:szCs w:val="20"/>
              </w:rPr>
              <w:t xml:space="preserve">.__________; </w:t>
            </w:r>
          </w:p>
          <w:p w:rsidR="00E36589" w:rsidRPr="009A4031" w:rsidRDefault="00E36589" w:rsidP="005679B6">
            <w:pPr>
              <w:pStyle w:val="5"/>
              <w:jc w:val="left"/>
              <w:rPr>
                <w:rFonts w:ascii="Bookman Old Style" w:hAnsi="Bookman Old Style" w:cs="Bookman Old Style"/>
                <w:b w:val="0"/>
                <w:bCs w:val="0"/>
                <w:i w:val="0"/>
                <w:iCs w:val="0"/>
                <w:sz w:val="20"/>
                <w:szCs w:val="20"/>
              </w:rPr>
            </w:pPr>
          </w:p>
          <w:p w:rsidR="00E36589" w:rsidRPr="009A4031" w:rsidRDefault="00E36589" w:rsidP="005679B6">
            <w:pPr>
              <w:pStyle w:val="a3"/>
              <w:rPr>
                <w:rFonts w:ascii="Bookman Old Style" w:hAnsi="Bookman Old Style" w:cs="Bookman Old Style"/>
                <w:b/>
                <w:bCs/>
                <w:sz w:val="20"/>
                <w:szCs w:val="20"/>
              </w:rPr>
            </w:pPr>
            <w:r w:rsidRPr="009A4031">
              <w:rPr>
                <w:rFonts w:ascii="Bookman Old Style" w:hAnsi="Bookman Old Style" w:cs="Bookman Old Style"/>
                <w:b/>
                <w:bCs/>
                <w:sz w:val="20"/>
                <w:szCs w:val="20"/>
              </w:rPr>
              <w:t xml:space="preserve">Банковские реквизиты: </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р/с</w:t>
            </w:r>
            <w:r w:rsidRPr="009A4031">
              <w:rPr>
                <w:rFonts w:ascii="Bookman Old Style" w:hAnsi="Bookman Old Style" w:cs="Bookman Old Style"/>
                <w:snapToGrid w:val="0"/>
                <w:sz w:val="20"/>
                <w:szCs w:val="20"/>
              </w:rPr>
              <w:t>___________________________</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в</w:t>
            </w:r>
            <w:r w:rsidRPr="009A4031">
              <w:rPr>
                <w:rFonts w:ascii="Bookman Old Style" w:hAnsi="Bookman Old Style" w:cs="Bookman Old Style"/>
                <w:snapToGrid w:val="0"/>
                <w:sz w:val="20"/>
                <w:szCs w:val="20"/>
              </w:rPr>
              <w:t xml:space="preserve"> ____________________________</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к/с</w:t>
            </w:r>
            <w:r w:rsidRPr="009A4031">
              <w:rPr>
                <w:rFonts w:ascii="Bookman Old Style" w:hAnsi="Bookman Old Style" w:cs="Bookman Old Style"/>
                <w:snapToGrid w:val="0"/>
                <w:sz w:val="20"/>
                <w:szCs w:val="20"/>
              </w:rPr>
              <w:t>___________________________</w:t>
            </w:r>
          </w:p>
          <w:p w:rsidR="00A0616F" w:rsidRDefault="00A0616F" w:rsidP="005679B6">
            <w:pPr>
              <w:widowControl w:val="0"/>
              <w:rPr>
                <w:rFonts w:ascii="Bookman Old Style" w:hAnsi="Bookman Old Style" w:cs="Bookman Old Style"/>
                <w:b/>
                <w:bCs/>
                <w:snapToGrid w:val="0"/>
                <w:sz w:val="20"/>
                <w:szCs w:val="20"/>
              </w:rPr>
            </w:pPr>
          </w:p>
          <w:p w:rsidR="00A0616F" w:rsidRDefault="00A0616F" w:rsidP="005679B6">
            <w:pPr>
              <w:widowControl w:val="0"/>
              <w:rPr>
                <w:rFonts w:ascii="Bookman Old Style" w:hAnsi="Bookman Old Style" w:cs="Bookman Old Style"/>
                <w:b/>
                <w:bCs/>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БИК</w:t>
            </w:r>
            <w:r w:rsidRPr="009A4031">
              <w:rPr>
                <w:rFonts w:ascii="Bookman Old Style" w:hAnsi="Bookman Old Style" w:cs="Bookman Old Style"/>
                <w:snapToGrid w:val="0"/>
                <w:sz w:val="20"/>
                <w:szCs w:val="20"/>
              </w:rPr>
              <w:t xml:space="preserve"> _________________ </w:t>
            </w: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ИНН</w:t>
            </w:r>
            <w:r w:rsidRPr="009A4031">
              <w:rPr>
                <w:rFonts w:ascii="Bookman Old Style" w:hAnsi="Bookman Old Style" w:cs="Bookman Old Style"/>
                <w:snapToGrid w:val="0"/>
                <w:sz w:val="20"/>
                <w:szCs w:val="20"/>
              </w:rPr>
              <w:t xml:space="preserve"> __________ </w:t>
            </w: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_________________ / ___________</w:t>
            </w:r>
          </w:p>
          <w:p w:rsidR="00E36589" w:rsidRPr="003E7ABD"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sz w:val="20"/>
                <w:szCs w:val="20"/>
              </w:rPr>
              <w:tab/>
            </w:r>
            <w:r w:rsidRPr="009A4031">
              <w:rPr>
                <w:rFonts w:ascii="Bookman Old Style" w:hAnsi="Bookman Old Style" w:cs="Bookman Old Style"/>
                <w:snapToGrid w:val="0"/>
                <w:sz w:val="20"/>
                <w:szCs w:val="20"/>
              </w:rPr>
              <w:t>М.П.</w:t>
            </w:r>
            <w:r w:rsidRPr="009A4031">
              <w:rPr>
                <w:rFonts w:ascii="Bookman Old Style" w:hAnsi="Bookman Old Style" w:cs="Bookman Old Style"/>
                <w:snapToGrid w:val="0"/>
                <w:sz w:val="20"/>
                <w:szCs w:val="20"/>
              </w:rPr>
              <w:tab/>
              <w:t xml:space="preserve">                                                                                                                </w:t>
            </w:r>
          </w:p>
        </w:tc>
      </w:tr>
    </w:tbl>
    <w:p w:rsidR="00E36589" w:rsidRPr="009A4031" w:rsidRDefault="00E36589" w:rsidP="00CB13F3">
      <w:pPr>
        <w:jc w:val="both"/>
        <w:rPr>
          <w:rFonts w:ascii="Bookman Old Style" w:hAnsi="Bookman Old Style" w:cs="Bookman Old Style"/>
          <w:sz w:val="20"/>
          <w:szCs w:val="20"/>
        </w:rPr>
      </w:pPr>
    </w:p>
    <w:sectPr w:rsidR="00E36589" w:rsidRPr="009A4031" w:rsidSect="008C4412">
      <w:footerReference w:type="default" r:id="rId9"/>
      <w:pgSz w:w="11906" w:h="16838"/>
      <w:pgMar w:top="1135"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41" w:rsidRDefault="00CD6941" w:rsidP="00D7016C">
      <w:r>
        <w:separator/>
      </w:r>
    </w:p>
  </w:endnote>
  <w:endnote w:type="continuationSeparator" w:id="0">
    <w:p w:rsidR="00CD6941" w:rsidRDefault="00CD6941" w:rsidP="00D7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89" w:rsidRDefault="0080667A">
    <w:pPr>
      <w:pStyle w:val="af1"/>
      <w:jc w:val="right"/>
    </w:pPr>
    <w:r>
      <w:fldChar w:fldCharType="begin"/>
    </w:r>
    <w:r>
      <w:instrText>PAGE   \* MERGEFORMAT</w:instrText>
    </w:r>
    <w:r>
      <w:fldChar w:fldCharType="separate"/>
    </w:r>
    <w:r w:rsidR="00B85AB4">
      <w:rPr>
        <w:noProof/>
      </w:rPr>
      <w:t>7</w:t>
    </w:r>
    <w:r>
      <w:rPr>
        <w:noProof/>
      </w:rPr>
      <w:fldChar w:fldCharType="end"/>
    </w:r>
  </w:p>
  <w:p w:rsidR="00E36589" w:rsidRDefault="00E3658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41" w:rsidRDefault="00CD6941" w:rsidP="00D7016C">
      <w:r>
        <w:separator/>
      </w:r>
    </w:p>
  </w:footnote>
  <w:footnote w:type="continuationSeparator" w:id="0">
    <w:p w:rsidR="00CD6941" w:rsidRDefault="00CD6941" w:rsidP="00D701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30A"/>
    <w:multiLevelType w:val="hybridMultilevel"/>
    <w:tmpl w:val="C144D44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2B0222EB"/>
    <w:multiLevelType w:val="hybridMultilevel"/>
    <w:tmpl w:val="B8AC522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9536D27"/>
    <w:multiLevelType w:val="hybridMultilevel"/>
    <w:tmpl w:val="8BEA11D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C6D411D"/>
    <w:multiLevelType w:val="hybridMultilevel"/>
    <w:tmpl w:val="654446D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5D501B5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6E6D136D"/>
    <w:multiLevelType w:val="singleLevel"/>
    <w:tmpl w:val="07523E98"/>
    <w:lvl w:ilvl="0">
      <w:numFmt w:val="bullet"/>
      <w:lvlText w:val="-"/>
      <w:lvlJc w:val="left"/>
      <w:pPr>
        <w:tabs>
          <w:tab w:val="num" w:pos="502"/>
        </w:tabs>
        <w:ind w:left="502" w:hanging="36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F3"/>
    <w:rsid w:val="0000010D"/>
    <w:rsid w:val="0002786F"/>
    <w:rsid w:val="00032B7F"/>
    <w:rsid w:val="000657DF"/>
    <w:rsid w:val="000D0E59"/>
    <w:rsid w:val="000D313A"/>
    <w:rsid w:val="00115FEE"/>
    <w:rsid w:val="00186144"/>
    <w:rsid w:val="0019437B"/>
    <w:rsid w:val="001A6142"/>
    <w:rsid w:val="001D186A"/>
    <w:rsid w:val="002457C4"/>
    <w:rsid w:val="002554A5"/>
    <w:rsid w:val="002C3950"/>
    <w:rsid w:val="003061AB"/>
    <w:rsid w:val="0030652B"/>
    <w:rsid w:val="00355ED5"/>
    <w:rsid w:val="0038608E"/>
    <w:rsid w:val="00390F0A"/>
    <w:rsid w:val="00397E15"/>
    <w:rsid w:val="003C3599"/>
    <w:rsid w:val="003E7ABD"/>
    <w:rsid w:val="003F318E"/>
    <w:rsid w:val="00400B55"/>
    <w:rsid w:val="004A3E44"/>
    <w:rsid w:val="004C6920"/>
    <w:rsid w:val="004D0C2A"/>
    <w:rsid w:val="004E39D2"/>
    <w:rsid w:val="00502890"/>
    <w:rsid w:val="0051715F"/>
    <w:rsid w:val="00527D01"/>
    <w:rsid w:val="00542B37"/>
    <w:rsid w:val="005679B6"/>
    <w:rsid w:val="005743BD"/>
    <w:rsid w:val="0058189F"/>
    <w:rsid w:val="005A720D"/>
    <w:rsid w:val="005F2554"/>
    <w:rsid w:val="005F6596"/>
    <w:rsid w:val="005F6746"/>
    <w:rsid w:val="00626FC2"/>
    <w:rsid w:val="006845D6"/>
    <w:rsid w:val="006A2887"/>
    <w:rsid w:val="00704E85"/>
    <w:rsid w:val="007E1981"/>
    <w:rsid w:val="0080667A"/>
    <w:rsid w:val="00810FC4"/>
    <w:rsid w:val="00833A6B"/>
    <w:rsid w:val="00834151"/>
    <w:rsid w:val="00843B53"/>
    <w:rsid w:val="008635EA"/>
    <w:rsid w:val="008847A4"/>
    <w:rsid w:val="008B28BB"/>
    <w:rsid w:val="008C4412"/>
    <w:rsid w:val="008F2B1A"/>
    <w:rsid w:val="009110F5"/>
    <w:rsid w:val="009447F9"/>
    <w:rsid w:val="009A304C"/>
    <w:rsid w:val="009A4031"/>
    <w:rsid w:val="009D31F4"/>
    <w:rsid w:val="009D711E"/>
    <w:rsid w:val="00A00FAB"/>
    <w:rsid w:val="00A0616F"/>
    <w:rsid w:val="00A155CD"/>
    <w:rsid w:val="00A27A1A"/>
    <w:rsid w:val="00A64D5C"/>
    <w:rsid w:val="00A8434A"/>
    <w:rsid w:val="00AA47A9"/>
    <w:rsid w:val="00AC2C61"/>
    <w:rsid w:val="00AD0404"/>
    <w:rsid w:val="00B064DD"/>
    <w:rsid w:val="00B35EE8"/>
    <w:rsid w:val="00B72EB0"/>
    <w:rsid w:val="00B85AB4"/>
    <w:rsid w:val="00BB7C89"/>
    <w:rsid w:val="00BC0BD7"/>
    <w:rsid w:val="00C018D2"/>
    <w:rsid w:val="00C4397A"/>
    <w:rsid w:val="00C559DB"/>
    <w:rsid w:val="00CB13F3"/>
    <w:rsid w:val="00CD6941"/>
    <w:rsid w:val="00D01E7E"/>
    <w:rsid w:val="00D3015F"/>
    <w:rsid w:val="00D7016C"/>
    <w:rsid w:val="00DB3691"/>
    <w:rsid w:val="00DC6A59"/>
    <w:rsid w:val="00DD3899"/>
    <w:rsid w:val="00DF497C"/>
    <w:rsid w:val="00E136A9"/>
    <w:rsid w:val="00E207F5"/>
    <w:rsid w:val="00E36589"/>
    <w:rsid w:val="00E564EE"/>
    <w:rsid w:val="00EC15D4"/>
    <w:rsid w:val="00ED3FF6"/>
    <w:rsid w:val="00F52F18"/>
    <w:rsid w:val="00F7449F"/>
    <w:rsid w:val="00FC08A3"/>
    <w:rsid w:val="00FC78D0"/>
    <w:rsid w:val="00FD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7F945"/>
  <w15:docId w15:val="{C38A7721-EAA8-4B73-B917-4459C864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F3"/>
    <w:rPr>
      <w:rFonts w:ascii="Times New Roman" w:eastAsia="Times New Roman" w:hAnsi="Times New Roman"/>
      <w:sz w:val="24"/>
      <w:szCs w:val="24"/>
    </w:rPr>
  </w:style>
  <w:style w:type="paragraph" w:styleId="5">
    <w:name w:val="heading 5"/>
    <w:basedOn w:val="a"/>
    <w:next w:val="a"/>
    <w:link w:val="50"/>
    <w:uiPriority w:val="99"/>
    <w:qFormat/>
    <w:rsid w:val="00CB13F3"/>
    <w:pPr>
      <w:keepNext/>
      <w:jc w:val="center"/>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CB13F3"/>
    <w:rPr>
      <w:rFonts w:ascii="Times New Roman" w:hAnsi="Times New Roman" w:cs="Times New Roman"/>
      <w:b/>
      <w:bCs/>
      <w:i/>
      <w:iCs/>
      <w:sz w:val="20"/>
      <w:szCs w:val="20"/>
      <w:lang w:eastAsia="ru-RU"/>
    </w:rPr>
  </w:style>
  <w:style w:type="paragraph" w:styleId="3">
    <w:name w:val="Body Text Indent 3"/>
    <w:basedOn w:val="a"/>
    <w:link w:val="30"/>
    <w:uiPriority w:val="99"/>
    <w:rsid w:val="00CB13F3"/>
    <w:pPr>
      <w:spacing w:line="360" w:lineRule="auto"/>
      <w:ind w:firstLine="709"/>
      <w:jc w:val="both"/>
    </w:pPr>
    <w:rPr>
      <w:i/>
      <w:iCs/>
      <w:sz w:val="22"/>
      <w:szCs w:val="22"/>
    </w:rPr>
  </w:style>
  <w:style w:type="character" w:customStyle="1" w:styleId="30">
    <w:name w:val="Основной текст с отступом 3 Знак"/>
    <w:link w:val="3"/>
    <w:uiPriority w:val="99"/>
    <w:locked/>
    <w:rsid w:val="00CB13F3"/>
    <w:rPr>
      <w:rFonts w:ascii="Times New Roman" w:hAnsi="Times New Roman" w:cs="Times New Roman"/>
      <w:i/>
      <w:iCs/>
      <w:sz w:val="24"/>
      <w:szCs w:val="24"/>
      <w:lang w:eastAsia="ru-RU"/>
    </w:rPr>
  </w:style>
  <w:style w:type="paragraph" w:customStyle="1" w:styleId="ConsNormal">
    <w:name w:val="ConsNormal"/>
    <w:uiPriority w:val="99"/>
    <w:rsid w:val="00CB13F3"/>
    <w:pPr>
      <w:widowControl w:val="0"/>
      <w:autoSpaceDE w:val="0"/>
      <w:autoSpaceDN w:val="0"/>
      <w:adjustRightInd w:val="0"/>
      <w:ind w:firstLine="720"/>
    </w:pPr>
    <w:rPr>
      <w:rFonts w:ascii="Arial" w:eastAsia="Times New Roman" w:hAnsi="Arial" w:cs="Arial"/>
      <w:sz w:val="22"/>
      <w:szCs w:val="22"/>
    </w:rPr>
  </w:style>
  <w:style w:type="paragraph" w:styleId="a3">
    <w:name w:val="Body Text"/>
    <w:basedOn w:val="a"/>
    <w:link w:val="a4"/>
    <w:uiPriority w:val="99"/>
    <w:semiHidden/>
    <w:rsid w:val="00CB13F3"/>
    <w:pPr>
      <w:spacing w:after="120"/>
    </w:pPr>
  </w:style>
  <w:style w:type="character" w:customStyle="1" w:styleId="a4">
    <w:name w:val="Основной текст Знак"/>
    <w:link w:val="a3"/>
    <w:uiPriority w:val="99"/>
    <w:semiHidden/>
    <w:locked/>
    <w:rsid w:val="00CB13F3"/>
    <w:rPr>
      <w:rFonts w:ascii="Times New Roman" w:hAnsi="Times New Roman" w:cs="Times New Roman"/>
      <w:sz w:val="24"/>
      <w:szCs w:val="24"/>
      <w:lang w:eastAsia="ru-RU"/>
    </w:rPr>
  </w:style>
  <w:style w:type="paragraph" w:styleId="a5">
    <w:name w:val="Balloon Text"/>
    <w:basedOn w:val="a"/>
    <w:link w:val="a6"/>
    <w:uiPriority w:val="99"/>
    <w:semiHidden/>
    <w:rsid w:val="00CB13F3"/>
    <w:rPr>
      <w:rFonts w:ascii="Tahoma" w:hAnsi="Tahoma" w:cs="Tahoma"/>
      <w:sz w:val="16"/>
      <w:szCs w:val="16"/>
    </w:rPr>
  </w:style>
  <w:style w:type="character" w:customStyle="1" w:styleId="a6">
    <w:name w:val="Текст выноски Знак"/>
    <w:link w:val="a5"/>
    <w:uiPriority w:val="99"/>
    <w:semiHidden/>
    <w:locked/>
    <w:rsid w:val="00CB13F3"/>
    <w:rPr>
      <w:rFonts w:ascii="Tahoma" w:hAnsi="Tahoma" w:cs="Tahoma"/>
      <w:sz w:val="16"/>
      <w:szCs w:val="16"/>
      <w:lang w:eastAsia="ru-RU"/>
    </w:rPr>
  </w:style>
  <w:style w:type="character" w:styleId="a7">
    <w:name w:val="Subtle Emphasis"/>
    <w:uiPriority w:val="99"/>
    <w:qFormat/>
    <w:rsid w:val="00CB13F3"/>
    <w:rPr>
      <w:i/>
      <w:iCs/>
      <w:color w:val="808080"/>
    </w:rPr>
  </w:style>
  <w:style w:type="paragraph" w:styleId="a8">
    <w:name w:val="caption"/>
    <w:basedOn w:val="a"/>
    <w:uiPriority w:val="99"/>
    <w:qFormat/>
    <w:rsid w:val="00CB13F3"/>
    <w:pPr>
      <w:widowControl w:val="0"/>
      <w:ind w:right="-852"/>
      <w:jc w:val="center"/>
    </w:pPr>
    <w:rPr>
      <w:b/>
      <w:bCs/>
    </w:rPr>
  </w:style>
  <w:style w:type="character" w:customStyle="1" w:styleId="SUBST">
    <w:name w:val="__SUBST"/>
    <w:uiPriority w:val="99"/>
    <w:rsid w:val="00CB13F3"/>
    <w:rPr>
      <w:b/>
      <w:bCs/>
      <w:i/>
      <w:iCs/>
      <w:sz w:val="22"/>
      <w:szCs w:val="22"/>
    </w:rPr>
  </w:style>
  <w:style w:type="character" w:styleId="a9">
    <w:name w:val="annotation reference"/>
    <w:uiPriority w:val="99"/>
    <w:semiHidden/>
    <w:rsid w:val="00F7449F"/>
    <w:rPr>
      <w:sz w:val="16"/>
      <w:szCs w:val="16"/>
    </w:rPr>
  </w:style>
  <w:style w:type="paragraph" w:styleId="aa">
    <w:name w:val="annotation text"/>
    <w:basedOn w:val="a"/>
    <w:link w:val="ab"/>
    <w:uiPriority w:val="99"/>
    <w:semiHidden/>
    <w:rsid w:val="00F7449F"/>
    <w:rPr>
      <w:sz w:val="20"/>
      <w:szCs w:val="20"/>
    </w:rPr>
  </w:style>
  <w:style w:type="character" w:customStyle="1" w:styleId="ab">
    <w:name w:val="Текст примечания Знак"/>
    <w:link w:val="aa"/>
    <w:uiPriority w:val="99"/>
    <w:semiHidden/>
    <w:locked/>
    <w:rsid w:val="00F7449F"/>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F7449F"/>
    <w:rPr>
      <w:b/>
      <w:bCs/>
    </w:rPr>
  </w:style>
  <w:style w:type="character" w:customStyle="1" w:styleId="ad">
    <w:name w:val="Тема примечания Знак"/>
    <w:link w:val="ac"/>
    <w:uiPriority w:val="99"/>
    <w:semiHidden/>
    <w:locked/>
    <w:rsid w:val="00F7449F"/>
    <w:rPr>
      <w:rFonts w:ascii="Times New Roman" w:hAnsi="Times New Roman" w:cs="Times New Roman"/>
      <w:b/>
      <w:bCs/>
      <w:sz w:val="20"/>
      <w:szCs w:val="20"/>
      <w:lang w:eastAsia="ru-RU"/>
    </w:rPr>
  </w:style>
  <w:style w:type="paragraph" w:styleId="ae">
    <w:name w:val="List Paragraph"/>
    <w:basedOn w:val="a"/>
    <w:uiPriority w:val="99"/>
    <w:qFormat/>
    <w:rsid w:val="00E136A9"/>
    <w:pPr>
      <w:ind w:left="720"/>
    </w:pPr>
  </w:style>
  <w:style w:type="paragraph" w:styleId="af">
    <w:name w:val="header"/>
    <w:basedOn w:val="a"/>
    <w:link w:val="af0"/>
    <w:uiPriority w:val="99"/>
    <w:rsid w:val="00D7016C"/>
    <w:pPr>
      <w:tabs>
        <w:tab w:val="center" w:pos="4677"/>
        <w:tab w:val="right" w:pos="9355"/>
      </w:tabs>
    </w:pPr>
  </w:style>
  <w:style w:type="character" w:customStyle="1" w:styleId="af0">
    <w:name w:val="Верхний колонтитул Знак"/>
    <w:link w:val="af"/>
    <w:uiPriority w:val="99"/>
    <w:locked/>
    <w:rsid w:val="00D7016C"/>
    <w:rPr>
      <w:rFonts w:ascii="Times New Roman" w:hAnsi="Times New Roman" w:cs="Times New Roman"/>
      <w:sz w:val="24"/>
      <w:szCs w:val="24"/>
      <w:lang w:eastAsia="ru-RU"/>
    </w:rPr>
  </w:style>
  <w:style w:type="paragraph" w:styleId="af1">
    <w:name w:val="footer"/>
    <w:basedOn w:val="a"/>
    <w:link w:val="af2"/>
    <w:uiPriority w:val="99"/>
    <w:rsid w:val="00D7016C"/>
    <w:pPr>
      <w:tabs>
        <w:tab w:val="center" w:pos="4677"/>
        <w:tab w:val="right" w:pos="9355"/>
      </w:tabs>
    </w:pPr>
  </w:style>
  <w:style w:type="character" w:customStyle="1" w:styleId="af2">
    <w:name w:val="Нижний колонтитул Знак"/>
    <w:link w:val="af1"/>
    <w:uiPriority w:val="99"/>
    <w:locked/>
    <w:rsid w:val="00D7016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8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95E3C323B5609125FA9CCA19594688D87AC2255A8C6A93967330CB9630ABE5D1ABA91D6D52DD0mCT3M" TargetMode="External"/><Relationship Id="rId3" Type="http://schemas.openxmlformats.org/officeDocument/2006/relationships/settings" Target="settings.xml"/><Relationship Id="rId7" Type="http://schemas.openxmlformats.org/officeDocument/2006/relationships/hyperlink" Target="consultantplus://offline/ref=D4A95E3C323B5609125FA9CCA19594688D87AC2255A8C6A93967330CB9630ABE5D1ABA91D6D52DD0mCT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3012</Words>
  <Characters>21713</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 Гайдаренко</cp:lastModifiedBy>
  <cp:revision>4</cp:revision>
  <cp:lastPrinted>2021-06-17T07:23:00Z</cp:lastPrinted>
  <dcterms:created xsi:type="dcterms:W3CDTF">2018-11-14T15:33:00Z</dcterms:created>
  <dcterms:modified xsi:type="dcterms:W3CDTF">2021-06-17T07:24:00Z</dcterms:modified>
</cp:coreProperties>
</file>